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9E" w:rsidRPr="00EB0DB7" w:rsidRDefault="00FA229E" w:rsidP="00BB11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5986" w:rsidRDefault="00A95986" w:rsidP="00A95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 по муниципальной программе</w:t>
      </w:r>
      <w:r w:rsidR="00CC2E67" w:rsidRPr="00EB0D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2E67" w:rsidRPr="00A95986" w:rsidRDefault="0085530C" w:rsidP="00A95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«Формирование современной городской среды в муниципальном образовании «Город Майкоп»</w:t>
      </w:r>
      <w:r w:rsidR="00CC2E67" w:rsidRPr="00EB0DB7">
        <w:rPr>
          <w:rFonts w:ascii="Times New Roman" w:hAnsi="Times New Roman" w:cs="Times New Roman"/>
          <w:b/>
          <w:sz w:val="28"/>
          <w:szCs w:val="28"/>
        </w:rPr>
        <w:t>, утвержденной Постановлением Администрации муниципального образования</w:t>
      </w:r>
      <w:r w:rsidR="00FA229E" w:rsidRPr="00EB0D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C2E67" w:rsidRPr="00EB0DB7">
        <w:rPr>
          <w:rFonts w:ascii="Times New Roman" w:hAnsi="Times New Roman" w:cs="Times New Roman"/>
          <w:b/>
          <w:sz w:val="28"/>
          <w:szCs w:val="28"/>
        </w:rPr>
        <w:t xml:space="preserve">«Город Майкоп» </w:t>
      </w:r>
      <w:r w:rsidR="00EB0DB7" w:rsidRPr="0085530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85530C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10.12.2021 № 1354</w:t>
      </w:r>
      <w:r w:rsidR="00A9598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, за 2022 год</w:t>
      </w:r>
    </w:p>
    <w:p w:rsidR="00FA229E" w:rsidRPr="00EB0DB7" w:rsidRDefault="00FA229E" w:rsidP="00CC2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29E" w:rsidRPr="00EB0DB7" w:rsidRDefault="00FA229E" w:rsidP="00CC2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F69" w:rsidRDefault="00C14F69" w:rsidP="00BA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30C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85530C" w:rsidRPr="008553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«Формирование современной городской среды в муниципальном образовании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2E67" w:rsidRPr="00EB0DB7">
        <w:rPr>
          <w:rFonts w:ascii="Times New Roman" w:hAnsi="Times New Roman" w:cs="Times New Roman"/>
          <w:sz w:val="28"/>
          <w:szCs w:val="28"/>
        </w:rPr>
        <w:t xml:space="preserve">является инструментом реализации </w:t>
      </w:r>
      <w:r w:rsidRPr="006820E0">
        <w:rPr>
          <w:rFonts w:ascii="Times New Roman" w:hAnsi="Times New Roman" w:cs="Times New Roman"/>
          <w:sz w:val="28"/>
          <w:szCs w:val="28"/>
        </w:rPr>
        <w:t>комфортных условий проживания граждан</w:t>
      </w:r>
      <w:r w:rsidR="00CC2E67" w:rsidRPr="00EB0DB7">
        <w:rPr>
          <w:rFonts w:ascii="Times New Roman" w:hAnsi="Times New Roman" w:cs="Times New Roman"/>
          <w:sz w:val="28"/>
          <w:szCs w:val="28"/>
        </w:rPr>
        <w:t>.</w:t>
      </w:r>
      <w:r w:rsidR="00A95986">
        <w:rPr>
          <w:rFonts w:ascii="Times New Roman" w:hAnsi="Times New Roman" w:cs="Times New Roman"/>
          <w:sz w:val="28"/>
          <w:szCs w:val="28"/>
        </w:rPr>
        <w:t xml:space="preserve"> При этом существует необходимость в обеспечении комплексного развития </w:t>
      </w:r>
      <w:r w:rsidR="00A95986" w:rsidRPr="00A95986">
        <w:rPr>
          <w:rFonts w:ascii="Times New Roman" w:hAnsi="Times New Roman" w:cs="Times New Roman"/>
          <w:sz w:val="28"/>
          <w:szCs w:val="28"/>
        </w:rPr>
        <w:t>современной городской инфраструктуры на основе единых подходов.</w:t>
      </w:r>
    </w:p>
    <w:p w:rsidR="00CC2E67" w:rsidRPr="00BA5F4B" w:rsidRDefault="00CC2E67" w:rsidP="00CC2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5530C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A95986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85530C">
        <w:rPr>
          <w:rFonts w:ascii="Times New Roman" w:hAnsi="Times New Roman" w:cs="Times New Roman"/>
          <w:sz w:val="28"/>
          <w:szCs w:val="28"/>
        </w:rPr>
        <w:t xml:space="preserve">муниципальной программы проведены мероприятия, способствующие достижению </w:t>
      </w:r>
      <w:r w:rsidR="00A95986">
        <w:rPr>
          <w:rFonts w:ascii="Times New Roman" w:hAnsi="Times New Roman" w:cs="Times New Roman"/>
          <w:sz w:val="28"/>
          <w:szCs w:val="28"/>
        </w:rPr>
        <w:t>стратегических</w:t>
      </w:r>
      <w:r w:rsidRPr="0085530C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31763C" w:rsidRPr="0031763C" w:rsidRDefault="0031763C" w:rsidP="0031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3C">
        <w:rPr>
          <w:rFonts w:ascii="Times New Roman" w:hAnsi="Times New Roman" w:cs="Times New Roman"/>
          <w:sz w:val="28"/>
          <w:szCs w:val="28"/>
        </w:rPr>
        <w:t>1.</w:t>
      </w:r>
      <w:r w:rsidRPr="0031763C">
        <w:rPr>
          <w:rFonts w:ascii="Times New Roman" w:hAnsi="Times New Roman" w:cs="Times New Roman"/>
          <w:sz w:val="28"/>
          <w:szCs w:val="28"/>
        </w:rPr>
        <w:tab/>
        <w:t>Обеспечение потребности предприятий сферы ЖКХ и населения города в современной инженерной, дорожной и жилищной инфраструктуре.</w:t>
      </w:r>
    </w:p>
    <w:p w:rsidR="0031763C" w:rsidRPr="0031763C" w:rsidRDefault="0031763C" w:rsidP="0031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3C">
        <w:rPr>
          <w:rFonts w:ascii="Times New Roman" w:hAnsi="Times New Roman" w:cs="Times New Roman"/>
          <w:sz w:val="28"/>
          <w:szCs w:val="28"/>
        </w:rPr>
        <w:t>2.</w:t>
      </w:r>
      <w:r w:rsidRPr="0031763C">
        <w:rPr>
          <w:rFonts w:ascii="Times New Roman" w:hAnsi="Times New Roman" w:cs="Times New Roman"/>
          <w:sz w:val="28"/>
          <w:szCs w:val="28"/>
        </w:rPr>
        <w:tab/>
        <w:t>Соблюдение баланса комплексной застройки территории муниципального образования «Город Майкоп» при проектировании объектов социального назначения и коммерческой недвижимости, а также создание общественных пространств.</w:t>
      </w:r>
    </w:p>
    <w:p w:rsidR="0031763C" w:rsidRPr="0031763C" w:rsidRDefault="0031763C" w:rsidP="0031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3C">
        <w:rPr>
          <w:rFonts w:ascii="Times New Roman" w:hAnsi="Times New Roman" w:cs="Times New Roman"/>
          <w:sz w:val="28"/>
          <w:szCs w:val="28"/>
        </w:rPr>
        <w:t>3.</w:t>
      </w:r>
      <w:r w:rsidRPr="0031763C">
        <w:rPr>
          <w:rFonts w:ascii="Times New Roman" w:hAnsi="Times New Roman" w:cs="Times New Roman"/>
          <w:sz w:val="28"/>
          <w:szCs w:val="28"/>
        </w:rPr>
        <w:tab/>
        <w:t>Применение системного и комплексного подхода к формированию рынка доступного и комфортного жилья.</w:t>
      </w:r>
    </w:p>
    <w:p w:rsidR="0031763C" w:rsidRPr="0031763C" w:rsidRDefault="0031763C" w:rsidP="0031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3C">
        <w:rPr>
          <w:rFonts w:ascii="Times New Roman" w:hAnsi="Times New Roman" w:cs="Times New Roman"/>
          <w:sz w:val="28"/>
          <w:szCs w:val="28"/>
        </w:rPr>
        <w:t>4.</w:t>
      </w:r>
      <w:r w:rsidRPr="0031763C">
        <w:rPr>
          <w:rFonts w:ascii="Times New Roman" w:hAnsi="Times New Roman" w:cs="Times New Roman"/>
          <w:sz w:val="28"/>
          <w:szCs w:val="28"/>
        </w:rPr>
        <w:tab/>
        <w:t>Внедрение в строительство передовых технологий и современных архитектурных решений.</w:t>
      </w:r>
    </w:p>
    <w:p w:rsidR="00CC2E67" w:rsidRPr="00EB0DB7" w:rsidRDefault="0031763C" w:rsidP="0031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3C">
        <w:rPr>
          <w:rFonts w:ascii="Times New Roman" w:hAnsi="Times New Roman" w:cs="Times New Roman"/>
          <w:sz w:val="28"/>
          <w:szCs w:val="28"/>
        </w:rPr>
        <w:t>5.</w:t>
      </w:r>
      <w:r w:rsidRPr="0031763C">
        <w:rPr>
          <w:rFonts w:ascii="Times New Roman" w:hAnsi="Times New Roman" w:cs="Times New Roman"/>
          <w:sz w:val="28"/>
          <w:szCs w:val="28"/>
        </w:rPr>
        <w:tab/>
        <w:t xml:space="preserve">Создание на территории города зон отдыха, досуга и </w:t>
      </w:r>
      <w:r w:rsidR="00227E55">
        <w:rPr>
          <w:rFonts w:ascii="Times New Roman" w:hAnsi="Times New Roman" w:cs="Times New Roman"/>
          <w:sz w:val="28"/>
          <w:szCs w:val="28"/>
        </w:rPr>
        <w:t xml:space="preserve">развлечения; </w:t>
      </w:r>
    </w:p>
    <w:p w:rsidR="00227E55" w:rsidRDefault="00227E55" w:rsidP="00227E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стратегических целей:</w:t>
      </w:r>
    </w:p>
    <w:p w:rsidR="00227E55" w:rsidRPr="00227E55" w:rsidRDefault="00227E55" w:rsidP="00227E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E55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227E5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Реализация мероприятий в сфере жилищно-коммунального хозяйства.</w:t>
      </w:r>
    </w:p>
    <w:p w:rsidR="00227E55" w:rsidRPr="00227E55" w:rsidRDefault="00227E55" w:rsidP="00227E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E55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227E5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Развитие строительной отрасли, обеспечивающей высокое качество и доступность недвижимости.</w:t>
      </w:r>
    </w:p>
    <w:p w:rsidR="004A2E93" w:rsidRDefault="00227E55" w:rsidP="00227E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E55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227E5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Город, создающий условия для развития сферы туризма. Формирование конкурентоспособного туристического продукта.</w:t>
      </w:r>
    </w:p>
    <w:p w:rsidR="0016255A" w:rsidRDefault="0016255A" w:rsidP="00227E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7E55" w:rsidRDefault="00227E55" w:rsidP="00227E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достижении значений целевых показателей (индикаторов) муниципальной программы за 2022 год приведены в Таблице№1. </w:t>
      </w:r>
    </w:p>
    <w:p w:rsidR="00227E55" w:rsidRPr="00EB0DB7" w:rsidRDefault="00227E55" w:rsidP="00227E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6962" w:rsidRDefault="00C36962" w:rsidP="008C1C8D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2AEF" w:rsidRDefault="00A82AEF" w:rsidP="008C1C8D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2AEF" w:rsidRDefault="00A82AEF" w:rsidP="008C1C8D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36E5" w:rsidRDefault="004436E5" w:rsidP="008C1C8D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36E5" w:rsidRDefault="004436E5" w:rsidP="008C1C8D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36E5" w:rsidRDefault="004436E5" w:rsidP="008C1C8D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36E5" w:rsidRDefault="004436E5" w:rsidP="008C1C8D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35BE" w:rsidRPr="00EB0DB7" w:rsidRDefault="00FE35BE" w:rsidP="008C1C8D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p w:rsidR="00227E55" w:rsidRDefault="00B51CB0" w:rsidP="008C1C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27E55">
        <w:rPr>
          <w:rFonts w:ascii="Times New Roman" w:hAnsi="Times New Roman" w:cs="Times New Roman"/>
          <w:b/>
          <w:sz w:val="26"/>
          <w:szCs w:val="26"/>
          <w:lang w:eastAsia="ru-RU"/>
        </w:rPr>
        <w:t>Сведения</w:t>
      </w:r>
      <w:r w:rsidRPr="00227E55">
        <w:rPr>
          <w:rFonts w:ascii="Times New Roman" w:hAnsi="Times New Roman" w:cs="Times New Roman"/>
          <w:b/>
          <w:sz w:val="26"/>
          <w:szCs w:val="26"/>
          <w:lang w:eastAsia="ru-RU"/>
        </w:rPr>
        <w:br/>
        <w:t>о достижении значений целевых показателей (индик</w:t>
      </w:r>
      <w:r w:rsidR="0031763C" w:rsidRPr="00227E5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аторов) </w:t>
      </w:r>
    </w:p>
    <w:p w:rsidR="00FE35BE" w:rsidRPr="00227E55" w:rsidRDefault="0031763C" w:rsidP="008C1C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27E55">
        <w:rPr>
          <w:rFonts w:ascii="Times New Roman" w:hAnsi="Times New Roman" w:cs="Times New Roman"/>
          <w:b/>
          <w:sz w:val="26"/>
          <w:szCs w:val="26"/>
          <w:lang w:eastAsia="ru-RU"/>
        </w:rPr>
        <w:t>муниципальной программы.</w:t>
      </w:r>
      <w:r w:rsidR="00B51CB0" w:rsidRPr="00227E5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C1C8D" w:rsidRPr="00EB0DB7" w:rsidRDefault="008C1C8D" w:rsidP="008C1C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2699"/>
        <w:gridCol w:w="1055"/>
        <w:gridCol w:w="979"/>
        <w:gridCol w:w="1109"/>
        <w:gridCol w:w="979"/>
        <w:gridCol w:w="1832"/>
      </w:tblGrid>
      <w:tr w:rsidR="00346153" w:rsidRPr="00C36962" w:rsidTr="00C36962">
        <w:trPr>
          <w:jc w:val="center"/>
        </w:trPr>
        <w:tc>
          <w:tcPr>
            <w:tcW w:w="698" w:type="dxa"/>
            <w:vMerge w:val="restart"/>
            <w:vAlign w:val="center"/>
          </w:tcPr>
          <w:p w:rsidR="008C1C8D" w:rsidRPr="00C36962" w:rsidRDefault="00E11947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9" w:type="dxa"/>
            <w:vMerge w:val="restart"/>
            <w:vAlign w:val="center"/>
          </w:tcPr>
          <w:p w:rsidR="008C1C8D" w:rsidRPr="00C36962" w:rsidRDefault="00E11947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055" w:type="dxa"/>
            <w:vMerge w:val="restart"/>
            <w:textDirection w:val="btLr"/>
            <w:vAlign w:val="center"/>
          </w:tcPr>
          <w:p w:rsidR="008C1C8D" w:rsidRPr="00C36962" w:rsidRDefault="00E11947" w:rsidP="00E11947">
            <w:pPr>
              <w:tabs>
                <w:tab w:val="left" w:pos="426"/>
              </w:tabs>
              <w:ind w:left="68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67" w:type="dxa"/>
            <w:gridSpan w:val="3"/>
            <w:vAlign w:val="center"/>
          </w:tcPr>
          <w:p w:rsidR="008C1C8D" w:rsidRPr="00C36962" w:rsidRDefault="00E11947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целевых показателей (индикаторов) муниципальной программы, подпрограммы</w:t>
            </w:r>
          </w:p>
        </w:tc>
        <w:tc>
          <w:tcPr>
            <w:tcW w:w="1832" w:type="dxa"/>
            <w:vMerge w:val="restart"/>
            <w:vAlign w:val="center"/>
          </w:tcPr>
          <w:p w:rsidR="008C1C8D" w:rsidRPr="00C36962" w:rsidRDefault="00B51CB0" w:rsidP="00E1194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B51CB0" w:rsidRPr="00C36962" w:rsidRDefault="00B51CB0" w:rsidP="00E1194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  <w:p w:rsidR="006E693A" w:rsidRPr="00C36962" w:rsidRDefault="006E693A" w:rsidP="00E1194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153" w:rsidRPr="00C36962" w:rsidTr="00C36962">
        <w:trPr>
          <w:jc w:val="center"/>
        </w:trPr>
        <w:tc>
          <w:tcPr>
            <w:tcW w:w="698" w:type="dxa"/>
            <w:vMerge/>
          </w:tcPr>
          <w:p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088" w:type="dxa"/>
            <w:gridSpan w:val="2"/>
            <w:vAlign w:val="center"/>
          </w:tcPr>
          <w:p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832" w:type="dxa"/>
            <w:vMerge/>
          </w:tcPr>
          <w:p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F6E" w:rsidRPr="00C36962" w:rsidTr="00C36962">
        <w:trPr>
          <w:cantSplit/>
          <w:trHeight w:val="943"/>
          <w:jc w:val="center"/>
        </w:trPr>
        <w:tc>
          <w:tcPr>
            <w:tcW w:w="698" w:type="dxa"/>
            <w:vMerge/>
          </w:tcPr>
          <w:p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vAlign w:val="center"/>
          </w:tcPr>
          <w:p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textDirection w:val="btLr"/>
            <w:vAlign w:val="center"/>
          </w:tcPr>
          <w:p w:rsidR="008C1C8D" w:rsidRPr="00C36962" w:rsidRDefault="008C1C8D" w:rsidP="00E11947">
            <w:pPr>
              <w:tabs>
                <w:tab w:val="left" w:pos="426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79" w:type="dxa"/>
            <w:textDirection w:val="btLr"/>
            <w:vAlign w:val="center"/>
          </w:tcPr>
          <w:p w:rsidR="008C1C8D" w:rsidRPr="00C36962" w:rsidRDefault="008C1C8D" w:rsidP="00E11947">
            <w:pPr>
              <w:tabs>
                <w:tab w:val="left" w:pos="426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32" w:type="dxa"/>
            <w:vMerge/>
          </w:tcPr>
          <w:p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47" w:rsidRPr="00C36962" w:rsidTr="00C36962">
        <w:trPr>
          <w:jc w:val="center"/>
        </w:trPr>
        <w:tc>
          <w:tcPr>
            <w:tcW w:w="9351" w:type="dxa"/>
            <w:gridSpan w:val="7"/>
          </w:tcPr>
          <w:p w:rsidR="00E11947" w:rsidRPr="00C36962" w:rsidRDefault="00227E55" w:rsidP="00B51C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в муниципальном образовании «Город Майкоп»</w:t>
            </w:r>
          </w:p>
        </w:tc>
      </w:tr>
      <w:tr w:rsidR="00BA5F4B" w:rsidRPr="00C36962" w:rsidTr="00C20DE6">
        <w:trPr>
          <w:trHeight w:val="2631"/>
          <w:jc w:val="center"/>
        </w:trPr>
        <w:tc>
          <w:tcPr>
            <w:tcW w:w="698" w:type="dxa"/>
          </w:tcPr>
          <w:p w:rsidR="00BA5F4B" w:rsidRPr="00124880" w:rsidRDefault="00BA5F4B" w:rsidP="00BA5F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24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99" w:type="dxa"/>
          </w:tcPr>
          <w:p w:rsidR="00BA5F4B" w:rsidRPr="00124880" w:rsidRDefault="00BA5F4B" w:rsidP="00BA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(нарастающим итогом).</w:t>
            </w:r>
          </w:p>
        </w:tc>
        <w:tc>
          <w:tcPr>
            <w:tcW w:w="1055" w:type="dxa"/>
            <w:vAlign w:val="center"/>
          </w:tcPr>
          <w:p w:rsidR="00BA5F4B" w:rsidRPr="00124880" w:rsidRDefault="00BA5F4B" w:rsidP="00BA5F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24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79" w:type="dxa"/>
            <w:vAlign w:val="center"/>
          </w:tcPr>
          <w:p w:rsidR="00BA5F4B" w:rsidRPr="00124880" w:rsidRDefault="00BA5F4B" w:rsidP="00BA5F4B">
            <w:pPr>
              <w:tabs>
                <w:tab w:val="right" w:pos="49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24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BA5F4B" w:rsidRPr="00124880" w:rsidRDefault="00BA5F4B" w:rsidP="00BA5F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24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979" w:type="dxa"/>
            <w:vAlign w:val="center"/>
          </w:tcPr>
          <w:p w:rsidR="00BA5F4B" w:rsidRPr="00E4163E" w:rsidRDefault="00E4163E" w:rsidP="00BA5F4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163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32" w:type="dxa"/>
            <w:vAlign w:val="center"/>
          </w:tcPr>
          <w:p w:rsidR="00BA5F4B" w:rsidRPr="00063246" w:rsidRDefault="00063246" w:rsidP="00063246">
            <w:pPr>
              <w:tabs>
                <w:tab w:val="left" w:pos="426"/>
              </w:tabs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46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</w:tr>
      <w:tr w:rsidR="00BA5F4B" w:rsidRPr="00C36962" w:rsidTr="00C20DE6">
        <w:trPr>
          <w:trHeight w:val="1560"/>
          <w:jc w:val="center"/>
        </w:trPr>
        <w:tc>
          <w:tcPr>
            <w:tcW w:w="698" w:type="dxa"/>
          </w:tcPr>
          <w:p w:rsidR="00BA5F4B" w:rsidRPr="00124880" w:rsidRDefault="00BA5F4B" w:rsidP="00BA5F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24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99" w:type="dxa"/>
          </w:tcPr>
          <w:p w:rsidR="00BA5F4B" w:rsidRPr="00124880" w:rsidRDefault="00BA5F4B" w:rsidP="00BA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sz w:val="24"/>
                <w:szCs w:val="24"/>
              </w:rPr>
              <w:t>Прирост благоустроенных общественных территорий (нарастающим итогом).</w:t>
            </w:r>
          </w:p>
        </w:tc>
        <w:tc>
          <w:tcPr>
            <w:tcW w:w="1055" w:type="dxa"/>
            <w:vAlign w:val="center"/>
          </w:tcPr>
          <w:p w:rsidR="00BA5F4B" w:rsidRPr="00124880" w:rsidRDefault="00227E55" w:rsidP="00BA5F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BA5F4B" w:rsidRPr="00124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979" w:type="dxa"/>
            <w:vAlign w:val="center"/>
          </w:tcPr>
          <w:p w:rsidR="00BA5F4B" w:rsidRPr="00124880" w:rsidRDefault="00BA5F4B" w:rsidP="00BA5F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24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BA5F4B" w:rsidRPr="00124880" w:rsidRDefault="00BA5F4B" w:rsidP="00BA5F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24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BA5F4B" w:rsidRPr="00C36962" w:rsidRDefault="0054329A" w:rsidP="00BA5F4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2" w:type="dxa"/>
            <w:vAlign w:val="center"/>
          </w:tcPr>
          <w:p w:rsidR="00BA5F4B" w:rsidRPr="00063246" w:rsidRDefault="00063246" w:rsidP="00063246">
            <w:pPr>
              <w:tabs>
                <w:tab w:val="left" w:pos="426"/>
              </w:tabs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4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BA5F4B" w:rsidRPr="00C36962" w:rsidTr="00C20DE6">
        <w:trPr>
          <w:trHeight w:val="2856"/>
          <w:jc w:val="center"/>
        </w:trPr>
        <w:tc>
          <w:tcPr>
            <w:tcW w:w="698" w:type="dxa"/>
          </w:tcPr>
          <w:p w:rsidR="00BA5F4B" w:rsidRPr="00124880" w:rsidRDefault="00BA5F4B" w:rsidP="00BA5F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24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99" w:type="dxa"/>
          </w:tcPr>
          <w:p w:rsidR="00BA5F4B" w:rsidRPr="00124880" w:rsidRDefault="00BA5F4B" w:rsidP="00BA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sz w:val="24"/>
                <w:szCs w:val="24"/>
              </w:rPr>
              <w:t xml:space="preserve">Доля многоквартирных домов, в отношении которых выполнены мероприятия </w:t>
            </w:r>
            <w:r w:rsidRPr="0012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приведению к единой цветовой визуализации фасадной части балконов зданий, которые выходят на въездные улицы</w:t>
            </w:r>
          </w:p>
        </w:tc>
        <w:tc>
          <w:tcPr>
            <w:tcW w:w="1055" w:type="dxa"/>
            <w:vAlign w:val="center"/>
          </w:tcPr>
          <w:p w:rsidR="00BA5F4B" w:rsidRPr="00124880" w:rsidRDefault="00BA5F4B" w:rsidP="00BA5F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24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79" w:type="dxa"/>
            <w:vAlign w:val="center"/>
          </w:tcPr>
          <w:p w:rsidR="00BA5F4B" w:rsidRPr="00124880" w:rsidRDefault="00BA5F4B" w:rsidP="00BA5F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24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BA5F4B" w:rsidRPr="00124880" w:rsidRDefault="00BA5F4B" w:rsidP="00BA5F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24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979" w:type="dxa"/>
            <w:vAlign w:val="center"/>
          </w:tcPr>
          <w:p w:rsidR="00BA5F4B" w:rsidRPr="000C39D8" w:rsidRDefault="000C39D8" w:rsidP="00BA5F4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9D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32" w:type="dxa"/>
            <w:vAlign w:val="center"/>
          </w:tcPr>
          <w:p w:rsidR="00BA5F4B" w:rsidRPr="00063246" w:rsidRDefault="00063246" w:rsidP="00063246">
            <w:pPr>
              <w:tabs>
                <w:tab w:val="left" w:pos="426"/>
              </w:tabs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C1C8D" w:rsidRDefault="008C1C8D" w:rsidP="008C1C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246" w:rsidRDefault="00063246" w:rsidP="000632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6E5" w:rsidRDefault="004436E5" w:rsidP="000632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6E5" w:rsidRDefault="004436E5" w:rsidP="000632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6E5" w:rsidRDefault="004436E5" w:rsidP="000632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6E5" w:rsidRDefault="004436E5" w:rsidP="000632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6E5" w:rsidRPr="00EB0DB7" w:rsidRDefault="004436E5" w:rsidP="000632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4FC" w:rsidRPr="00227E55" w:rsidRDefault="009A54FC" w:rsidP="00227E5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27E55">
        <w:rPr>
          <w:rFonts w:ascii="Times New Roman" w:hAnsi="Times New Roman" w:cs="Times New Roman"/>
          <w:sz w:val="28"/>
          <w:szCs w:val="28"/>
        </w:rPr>
        <w:lastRenderedPageBreak/>
        <w:t>Расчет</w:t>
      </w:r>
      <w:r w:rsidR="005E5598" w:rsidRPr="00227E55">
        <w:rPr>
          <w:rFonts w:ascii="Times New Roman" w:hAnsi="Times New Roman" w:cs="Times New Roman"/>
          <w:sz w:val="28"/>
          <w:szCs w:val="28"/>
        </w:rPr>
        <w:t xml:space="preserve"> фактических значений целевых показателей</w:t>
      </w:r>
      <w:r w:rsidRPr="00227E55">
        <w:rPr>
          <w:rFonts w:ascii="Times New Roman" w:hAnsi="Times New Roman" w:cs="Times New Roman"/>
          <w:sz w:val="28"/>
          <w:szCs w:val="28"/>
        </w:rPr>
        <w:t xml:space="preserve"> выполнения муниципальной программы:</w:t>
      </w:r>
    </w:p>
    <w:p w:rsidR="00063246" w:rsidRPr="00EB0DB7" w:rsidRDefault="00063246" w:rsidP="0053123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64212" w:rsidRPr="00EB0DB7" w:rsidRDefault="00B64212" w:rsidP="004635A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5A3" w:rsidRPr="00EB0DB7" w:rsidRDefault="004635A3" w:rsidP="00F30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EE0" w:rsidRDefault="00A465D6" w:rsidP="00F44FF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sz w:val="28"/>
          <w:szCs w:val="28"/>
        </w:rPr>
        <w:t xml:space="preserve">ЦП </w:t>
      </w:r>
      <w:r w:rsidR="00FA3EE0" w:rsidRPr="00EB0DB7">
        <w:rPr>
          <w:rFonts w:ascii="Times New Roman" w:hAnsi="Times New Roman" w:cs="Times New Roman"/>
          <w:sz w:val="28"/>
          <w:szCs w:val="28"/>
        </w:rPr>
        <w:t xml:space="preserve">1. Целевой показатель </w:t>
      </w:r>
      <w:r w:rsidR="0085530C">
        <w:rPr>
          <w:rFonts w:ascii="Times New Roman" w:hAnsi="Times New Roman" w:cs="Times New Roman"/>
          <w:sz w:val="28"/>
          <w:szCs w:val="28"/>
        </w:rPr>
        <w:t>«</w:t>
      </w:r>
      <w:r w:rsidR="0085530C" w:rsidRPr="0085530C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многоквартирных домов от общего количества дворовых территорий многоквартирных домов (нарастающим итогом)</w:t>
      </w:r>
      <w:r w:rsidR="0085530C">
        <w:rPr>
          <w:rFonts w:ascii="Times New Roman" w:hAnsi="Times New Roman" w:cs="Times New Roman"/>
          <w:sz w:val="28"/>
          <w:szCs w:val="28"/>
        </w:rPr>
        <w:t>»</w:t>
      </w:r>
      <w:r w:rsidR="00227E55">
        <w:rPr>
          <w:rFonts w:ascii="Times New Roman" w:hAnsi="Times New Roman" w:cs="Times New Roman"/>
          <w:sz w:val="28"/>
          <w:szCs w:val="28"/>
        </w:rPr>
        <w:t xml:space="preserve"> рассчитывается в соответствии с методикой расчета целевых показателей муниципальной программы </w:t>
      </w:r>
      <w:r w:rsidR="00227E55" w:rsidRPr="00227E55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в муниципальном образовании «Город Майкоп»</w:t>
      </w:r>
      <w:r w:rsidR="00227E55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4662C8" w:rsidRDefault="00547792" w:rsidP="006151D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151D1" w:rsidRPr="006151D1">
        <w:rPr>
          <w:rFonts w:ascii="Times New Roman" w:hAnsi="Times New Roman" w:cs="Times New Roman"/>
          <w:sz w:val="28"/>
          <w:szCs w:val="28"/>
        </w:rPr>
        <w:t>Д</w:t>
      </w:r>
      <w:r w:rsidR="006151D1" w:rsidRPr="006151D1">
        <w:rPr>
          <w:rFonts w:ascii="Times New Roman" w:hAnsi="Times New Roman" w:cs="Times New Roman"/>
          <w:sz w:val="20"/>
          <w:szCs w:val="20"/>
        </w:rPr>
        <w:t>бдт</w:t>
      </w:r>
      <w:proofErr w:type="spellEnd"/>
      <w:r w:rsidR="006151D1" w:rsidRPr="006151D1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151D1" w:rsidRPr="006151D1">
        <w:rPr>
          <w:rFonts w:ascii="Times New Roman" w:hAnsi="Times New Roman" w:cs="Times New Roman"/>
          <w:sz w:val="28"/>
          <w:szCs w:val="28"/>
        </w:rPr>
        <w:t>К</w:t>
      </w:r>
      <w:r w:rsidR="006151D1" w:rsidRPr="006151D1">
        <w:rPr>
          <w:rFonts w:ascii="Times New Roman" w:hAnsi="Times New Roman" w:cs="Times New Roman"/>
          <w:sz w:val="20"/>
          <w:szCs w:val="20"/>
        </w:rPr>
        <w:t>бдт</w:t>
      </w:r>
      <w:proofErr w:type="spellEnd"/>
      <w:r w:rsidR="006151D1" w:rsidRPr="006151D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151D1" w:rsidRPr="006151D1">
        <w:rPr>
          <w:rFonts w:ascii="Times New Roman" w:hAnsi="Times New Roman" w:cs="Times New Roman"/>
          <w:sz w:val="28"/>
          <w:szCs w:val="28"/>
        </w:rPr>
        <w:t>К</w:t>
      </w:r>
      <w:r w:rsidR="006151D1" w:rsidRPr="006151D1">
        <w:rPr>
          <w:rFonts w:ascii="Times New Roman" w:hAnsi="Times New Roman" w:cs="Times New Roman"/>
          <w:sz w:val="20"/>
          <w:szCs w:val="20"/>
        </w:rPr>
        <w:t>одт</w:t>
      </w:r>
      <w:proofErr w:type="spellEnd"/>
      <w:r w:rsidR="00063246">
        <w:rPr>
          <w:rFonts w:ascii="Times New Roman" w:hAnsi="Times New Roman" w:cs="Times New Roman"/>
          <w:sz w:val="28"/>
          <w:szCs w:val="28"/>
        </w:rPr>
        <w:t>*100</w:t>
      </w:r>
      <w:r w:rsidR="00227E55">
        <w:rPr>
          <w:rFonts w:ascii="Times New Roman" w:hAnsi="Times New Roman" w:cs="Times New Roman"/>
          <w:sz w:val="28"/>
          <w:szCs w:val="28"/>
        </w:rPr>
        <w:t xml:space="preserve">%, где </w:t>
      </w:r>
      <w:r w:rsidR="00063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1D1" w:rsidRPr="006151D1" w:rsidRDefault="006151D1" w:rsidP="006151D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1D1">
        <w:rPr>
          <w:rFonts w:ascii="Times New Roman" w:hAnsi="Times New Roman" w:cs="Times New Roman"/>
          <w:sz w:val="28"/>
          <w:szCs w:val="28"/>
        </w:rPr>
        <w:t>Д</w:t>
      </w:r>
      <w:r w:rsidRPr="006151D1">
        <w:rPr>
          <w:rFonts w:ascii="Times New Roman" w:hAnsi="Times New Roman" w:cs="Times New Roman"/>
          <w:sz w:val="20"/>
          <w:szCs w:val="20"/>
        </w:rPr>
        <w:t>бдт</w:t>
      </w:r>
      <w:proofErr w:type="spellEnd"/>
      <w:r w:rsidRPr="006151D1">
        <w:rPr>
          <w:rFonts w:ascii="Times New Roman" w:hAnsi="Times New Roman" w:cs="Times New Roman"/>
          <w:sz w:val="28"/>
          <w:szCs w:val="28"/>
        </w:rPr>
        <w:t xml:space="preserve"> - доля благоустроенных дворовых территорий многоквартирных домов от общего количества дворовых территорий многоквартирных домов (нарастающим итогом</w:t>
      </w:r>
      <w:proofErr w:type="gramStart"/>
      <w:r w:rsidRPr="006151D1">
        <w:rPr>
          <w:rFonts w:ascii="Times New Roman" w:hAnsi="Times New Roman" w:cs="Times New Roman"/>
          <w:sz w:val="28"/>
          <w:szCs w:val="28"/>
        </w:rPr>
        <w:t>), %;</w:t>
      </w:r>
      <w:proofErr w:type="gramEnd"/>
    </w:p>
    <w:p w:rsidR="00227E55" w:rsidRPr="006151D1" w:rsidRDefault="006151D1" w:rsidP="006151D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1D1">
        <w:rPr>
          <w:rFonts w:ascii="Times New Roman" w:hAnsi="Times New Roman" w:cs="Times New Roman"/>
          <w:sz w:val="28"/>
          <w:szCs w:val="28"/>
        </w:rPr>
        <w:t>К</w:t>
      </w:r>
      <w:r w:rsidRPr="006151D1">
        <w:rPr>
          <w:rFonts w:ascii="Times New Roman" w:hAnsi="Times New Roman" w:cs="Times New Roman"/>
          <w:sz w:val="20"/>
          <w:szCs w:val="20"/>
        </w:rPr>
        <w:t>бдт</w:t>
      </w:r>
      <w:proofErr w:type="spellEnd"/>
      <w:r w:rsidRPr="006151D1">
        <w:rPr>
          <w:rFonts w:ascii="Times New Roman" w:hAnsi="Times New Roman" w:cs="Times New Roman"/>
          <w:sz w:val="28"/>
          <w:szCs w:val="28"/>
        </w:rPr>
        <w:t xml:space="preserve"> - количество благоустроенных дворовых территорий многоквартирных домов по итогам отчетного года, нарастающим итогом, шт.;</w:t>
      </w:r>
    </w:p>
    <w:p w:rsidR="00547792" w:rsidRDefault="006151D1" w:rsidP="006151D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1D1">
        <w:rPr>
          <w:rFonts w:ascii="Times New Roman" w:hAnsi="Times New Roman" w:cs="Times New Roman"/>
          <w:sz w:val="28"/>
          <w:szCs w:val="28"/>
        </w:rPr>
        <w:t>К</w:t>
      </w:r>
      <w:r w:rsidRPr="006151D1">
        <w:rPr>
          <w:rFonts w:ascii="Times New Roman" w:hAnsi="Times New Roman" w:cs="Times New Roman"/>
          <w:sz w:val="20"/>
          <w:szCs w:val="20"/>
        </w:rPr>
        <w:t>одт</w:t>
      </w:r>
      <w:proofErr w:type="spellEnd"/>
      <w:r w:rsidRPr="006151D1">
        <w:rPr>
          <w:rFonts w:ascii="Times New Roman" w:hAnsi="Times New Roman" w:cs="Times New Roman"/>
          <w:sz w:val="28"/>
          <w:szCs w:val="28"/>
        </w:rPr>
        <w:t xml:space="preserve"> - общее количество дворовых территорий многоквартирных домов, шт.</w:t>
      </w:r>
    </w:p>
    <w:p w:rsidR="00227E55" w:rsidRDefault="00227E55" w:rsidP="006151D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Фактический расчет: </w:t>
      </w:r>
      <w:r w:rsidR="004662C8">
        <w:rPr>
          <w:rFonts w:ascii="Times New Roman" w:hAnsi="Times New Roman" w:cs="Times New Roman"/>
          <w:sz w:val="28"/>
          <w:szCs w:val="28"/>
        </w:rPr>
        <w:t>14/436*100=3,2</w:t>
      </w:r>
    </w:p>
    <w:p w:rsidR="00547792" w:rsidRDefault="00F61AD8" w:rsidP="0054779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4662C8">
        <w:rPr>
          <w:rFonts w:ascii="Times New Roman" w:hAnsi="Times New Roman" w:cs="Times New Roman"/>
          <w:sz w:val="28"/>
          <w:szCs w:val="28"/>
        </w:rPr>
        <w:t xml:space="preserve">Таким образом, в 2022 году  </w:t>
      </w:r>
      <w:r w:rsidR="004662C8" w:rsidRPr="004662C8">
        <w:rPr>
          <w:rFonts w:ascii="Times New Roman" w:hAnsi="Times New Roman" w:cs="Times New Roman"/>
          <w:sz w:val="28"/>
          <w:szCs w:val="28"/>
        </w:rPr>
        <w:t>количество благоустроенных дворовых территорий многоквартирных домов по итогам отчетного года</w:t>
      </w:r>
      <w:r w:rsidR="004662C8">
        <w:rPr>
          <w:rFonts w:ascii="Times New Roman" w:hAnsi="Times New Roman" w:cs="Times New Roman"/>
          <w:sz w:val="28"/>
          <w:szCs w:val="28"/>
        </w:rPr>
        <w:t xml:space="preserve"> составило 14 ед. от запланированных 10 ед. </w:t>
      </w:r>
      <w:r w:rsidR="00081E5C">
        <w:rPr>
          <w:rFonts w:ascii="Times New Roman" w:hAnsi="Times New Roman" w:cs="Times New Roman"/>
          <w:sz w:val="28"/>
          <w:szCs w:val="28"/>
        </w:rPr>
        <w:t xml:space="preserve">Дополнительные денежные средства на благоустройство дворовых территорий были выделены из республиканского бюджета в рамках реализации муниципальной программы и также по ранее заключенным </w:t>
      </w:r>
      <w:r w:rsidR="00FA3F0E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081E5C">
        <w:rPr>
          <w:rFonts w:ascii="Times New Roman" w:hAnsi="Times New Roman" w:cs="Times New Roman"/>
          <w:sz w:val="28"/>
          <w:szCs w:val="28"/>
        </w:rPr>
        <w:t xml:space="preserve">контрактам </w:t>
      </w:r>
      <w:r w:rsidR="00FA3F0E">
        <w:rPr>
          <w:rFonts w:ascii="Times New Roman" w:hAnsi="Times New Roman" w:cs="Times New Roman"/>
          <w:sz w:val="28"/>
          <w:szCs w:val="28"/>
        </w:rPr>
        <w:t>была сформирована</w:t>
      </w:r>
      <w:r w:rsidR="00081E5C">
        <w:rPr>
          <w:rFonts w:ascii="Times New Roman" w:hAnsi="Times New Roman" w:cs="Times New Roman"/>
          <w:sz w:val="28"/>
          <w:szCs w:val="28"/>
        </w:rPr>
        <w:t xml:space="preserve"> </w:t>
      </w:r>
      <w:r w:rsidR="00FA3F0E">
        <w:rPr>
          <w:rFonts w:ascii="Times New Roman" w:hAnsi="Times New Roman" w:cs="Times New Roman"/>
          <w:sz w:val="28"/>
          <w:szCs w:val="28"/>
        </w:rPr>
        <w:t xml:space="preserve">существенная </w:t>
      </w:r>
      <w:r w:rsidR="00081E5C">
        <w:rPr>
          <w:rFonts w:ascii="Times New Roman" w:hAnsi="Times New Roman" w:cs="Times New Roman"/>
          <w:sz w:val="28"/>
          <w:szCs w:val="28"/>
        </w:rPr>
        <w:t xml:space="preserve"> экономия</w:t>
      </w:r>
      <w:r w:rsidR="00FA3F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3F0E">
        <w:rPr>
          <w:rFonts w:ascii="Times New Roman" w:hAnsi="Times New Roman" w:cs="Times New Roman"/>
          <w:sz w:val="28"/>
          <w:szCs w:val="28"/>
        </w:rPr>
        <w:t xml:space="preserve"> Вследствие чего дополнительно благоустроены </w:t>
      </w:r>
      <w:r>
        <w:rPr>
          <w:rFonts w:ascii="Times New Roman" w:hAnsi="Times New Roman" w:cs="Times New Roman"/>
          <w:sz w:val="28"/>
          <w:szCs w:val="28"/>
        </w:rPr>
        <w:t>4 дворовые территории многоквартирных домов.</w:t>
      </w:r>
    </w:p>
    <w:p w:rsidR="00F61AD8" w:rsidRDefault="00F61AD8" w:rsidP="0054779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02061" w:rsidRDefault="00A465D6" w:rsidP="00547792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sz w:val="28"/>
          <w:szCs w:val="28"/>
        </w:rPr>
        <w:t xml:space="preserve">ЦП </w:t>
      </w:r>
      <w:r w:rsidR="00302061" w:rsidRPr="00EB0DB7">
        <w:rPr>
          <w:rFonts w:ascii="Times New Roman" w:hAnsi="Times New Roman" w:cs="Times New Roman"/>
          <w:sz w:val="28"/>
          <w:szCs w:val="28"/>
        </w:rPr>
        <w:t xml:space="preserve">2. </w:t>
      </w:r>
      <w:r w:rsidR="001C66B1" w:rsidRPr="00EB0DB7">
        <w:rPr>
          <w:rFonts w:ascii="Times New Roman" w:hAnsi="Times New Roman" w:cs="Times New Roman"/>
          <w:sz w:val="28"/>
          <w:szCs w:val="28"/>
        </w:rPr>
        <w:t xml:space="preserve">Целевой показатель </w:t>
      </w:r>
      <w:r w:rsidR="001C66B1" w:rsidRPr="0085530C">
        <w:rPr>
          <w:rFonts w:ascii="Times New Roman" w:hAnsi="Times New Roman" w:cs="Times New Roman"/>
          <w:sz w:val="28"/>
          <w:szCs w:val="28"/>
        </w:rPr>
        <w:t>«</w:t>
      </w:r>
      <w:r w:rsidR="0085530C" w:rsidRPr="0085530C">
        <w:rPr>
          <w:rFonts w:ascii="Times New Roman" w:hAnsi="Times New Roman" w:cs="Times New Roman"/>
          <w:sz w:val="28"/>
          <w:szCs w:val="28"/>
        </w:rPr>
        <w:t>Прирост благоустроенных общественных территорий (нарастающим итогом)»</w:t>
      </w:r>
      <w:r w:rsidR="00547792">
        <w:rPr>
          <w:rFonts w:ascii="Times New Roman" w:hAnsi="Times New Roman" w:cs="Times New Roman"/>
          <w:sz w:val="28"/>
          <w:szCs w:val="28"/>
        </w:rPr>
        <w:t>.</w:t>
      </w:r>
    </w:p>
    <w:p w:rsidR="00547792" w:rsidRDefault="00547792" w:rsidP="00547792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не производится. </w:t>
      </w:r>
      <w:r w:rsidR="0085530C" w:rsidRPr="0085530C">
        <w:rPr>
          <w:rFonts w:ascii="Times New Roman" w:hAnsi="Times New Roman" w:cs="Times New Roman"/>
          <w:sz w:val="28"/>
          <w:szCs w:val="28"/>
        </w:rPr>
        <w:t>Данные для расчета приводятся в формах отчетности КС-3 «справка о стоимости работ выполненных работ и затрат», КС-2 «Акт о приемке выполненных работ».</w:t>
      </w:r>
    </w:p>
    <w:p w:rsidR="00547792" w:rsidRDefault="00547792" w:rsidP="0054779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F0E">
        <w:rPr>
          <w:rFonts w:ascii="Times New Roman" w:hAnsi="Times New Roman" w:cs="Times New Roman"/>
          <w:sz w:val="28"/>
          <w:szCs w:val="28"/>
        </w:rPr>
        <w:t>Фактическое значение за 2022 год  - 7ед</w:t>
      </w:r>
      <w:proofErr w:type="gramStart"/>
      <w:r w:rsidR="00FA3F0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61AD8" w:rsidRDefault="00F61AD8" w:rsidP="0054779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3F0858">
        <w:rPr>
          <w:rFonts w:ascii="Times New Roman" w:hAnsi="Times New Roman" w:cs="Times New Roman"/>
          <w:sz w:val="28"/>
          <w:szCs w:val="28"/>
        </w:rPr>
        <w:t>честь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858">
        <w:rPr>
          <w:rFonts w:ascii="Times New Roman" w:hAnsi="Times New Roman" w:cs="Times New Roman"/>
          <w:sz w:val="28"/>
          <w:szCs w:val="28"/>
        </w:rPr>
        <w:t>празднования</w:t>
      </w:r>
      <w:r>
        <w:rPr>
          <w:rFonts w:ascii="Times New Roman" w:hAnsi="Times New Roman" w:cs="Times New Roman"/>
          <w:sz w:val="28"/>
          <w:szCs w:val="28"/>
        </w:rPr>
        <w:t xml:space="preserve"> 100-летия Республики Адыгея были предоставлены дополнительные денежные средства на благоустройство общественных территорий.</w:t>
      </w:r>
    </w:p>
    <w:p w:rsidR="000F45F6" w:rsidRDefault="000F45F6" w:rsidP="000F45F6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51D1" w:rsidRDefault="000F45F6" w:rsidP="006151D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sz w:val="28"/>
          <w:szCs w:val="28"/>
        </w:rPr>
        <w:t xml:space="preserve">ЦП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0DB7">
        <w:rPr>
          <w:rFonts w:ascii="Times New Roman" w:hAnsi="Times New Roman" w:cs="Times New Roman"/>
          <w:sz w:val="28"/>
          <w:szCs w:val="28"/>
        </w:rPr>
        <w:t xml:space="preserve">. Целевой показатель </w:t>
      </w:r>
      <w:r w:rsidRPr="0085530C">
        <w:rPr>
          <w:rFonts w:ascii="Times New Roman" w:hAnsi="Times New Roman" w:cs="Times New Roman"/>
          <w:sz w:val="28"/>
          <w:szCs w:val="28"/>
        </w:rPr>
        <w:t>«</w:t>
      </w:r>
      <w:r w:rsidR="0085530C" w:rsidRPr="0085530C">
        <w:rPr>
          <w:rFonts w:ascii="Times New Roman" w:hAnsi="Times New Roman" w:cs="Times New Roman"/>
          <w:sz w:val="28"/>
          <w:szCs w:val="28"/>
        </w:rPr>
        <w:t xml:space="preserve">Доля многоквартирных домов, в отношении которых выполнены мероприятия </w:t>
      </w:r>
      <w:r w:rsidR="0085530C" w:rsidRPr="0085530C">
        <w:rPr>
          <w:rFonts w:ascii="Times New Roman" w:hAnsi="Times New Roman" w:cs="Times New Roman"/>
          <w:color w:val="000000"/>
          <w:sz w:val="28"/>
          <w:szCs w:val="28"/>
        </w:rPr>
        <w:t>по приведению к единой цветовой визуализации фасадной части балконов зданий, которые выходят на въездные улицы»</w:t>
      </w:r>
      <w:r w:rsidR="003E3497" w:rsidRPr="003E3497">
        <w:t xml:space="preserve"> </w:t>
      </w:r>
      <w:r w:rsidR="003E3497" w:rsidRPr="003E3497">
        <w:rPr>
          <w:rFonts w:ascii="Times New Roman" w:hAnsi="Times New Roman" w:cs="Times New Roman"/>
          <w:sz w:val="28"/>
          <w:szCs w:val="28"/>
        </w:rPr>
        <w:t>рассчитывается в соответствии с методикой расчета целевых показателей муниципальной программы «Формирование современной городской среды в муниципальном образовании «Город Майкоп» по формуле:</w:t>
      </w:r>
    </w:p>
    <w:p w:rsidR="003E3497" w:rsidRDefault="006151D1" w:rsidP="006151D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1D1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6151D1">
        <w:rPr>
          <w:rFonts w:ascii="Times New Roman" w:hAnsi="Times New Roman" w:cs="Times New Roman"/>
          <w:sz w:val="20"/>
          <w:szCs w:val="20"/>
        </w:rPr>
        <w:t>мкд</w:t>
      </w:r>
      <w:proofErr w:type="spellEnd"/>
      <w:r w:rsidRPr="006151D1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6151D1">
        <w:rPr>
          <w:rFonts w:ascii="Times New Roman" w:hAnsi="Times New Roman" w:cs="Times New Roman"/>
          <w:sz w:val="28"/>
          <w:szCs w:val="28"/>
        </w:rPr>
        <w:t>К</w:t>
      </w:r>
      <w:r w:rsidRPr="006151D1">
        <w:rPr>
          <w:rFonts w:ascii="Times New Roman" w:hAnsi="Times New Roman" w:cs="Times New Roman"/>
          <w:sz w:val="20"/>
          <w:szCs w:val="20"/>
        </w:rPr>
        <w:t>мкд</w:t>
      </w:r>
      <w:proofErr w:type="spellEnd"/>
      <w:r w:rsidRPr="006151D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151D1">
        <w:rPr>
          <w:rFonts w:ascii="Times New Roman" w:hAnsi="Times New Roman" w:cs="Times New Roman"/>
          <w:sz w:val="28"/>
          <w:szCs w:val="28"/>
        </w:rPr>
        <w:t>К</w:t>
      </w:r>
      <w:r w:rsidRPr="006151D1">
        <w:rPr>
          <w:rFonts w:ascii="Times New Roman" w:hAnsi="Times New Roman" w:cs="Times New Roman"/>
          <w:sz w:val="20"/>
          <w:szCs w:val="20"/>
        </w:rPr>
        <w:t>общ</w:t>
      </w:r>
      <w:proofErr w:type="spellEnd"/>
      <w:r w:rsidR="00063246">
        <w:rPr>
          <w:rFonts w:ascii="Times New Roman" w:hAnsi="Times New Roman" w:cs="Times New Roman"/>
          <w:sz w:val="28"/>
          <w:szCs w:val="28"/>
        </w:rPr>
        <w:t>*100</w:t>
      </w:r>
      <w:r w:rsidR="003E3497">
        <w:rPr>
          <w:rFonts w:ascii="Times New Roman" w:hAnsi="Times New Roman" w:cs="Times New Roman"/>
          <w:sz w:val="28"/>
          <w:szCs w:val="28"/>
        </w:rPr>
        <w:t>%, где:</w:t>
      </w:r>
    </w:p>
    <w:p w:rsidR="006151D1" w:rsidRPr="006151D1" w:rsidRDefault="006151D1" w:rsidP="006151D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1D1">
        <w:rPr>
          <w:rFonts w:ascii="Times New Roman" w:hAnsi="Times New Roman" w:cs="Times New Roman"/>
          <w:sz w:val="28"/>
          <w:szCs w:val="28"/>
        </w:rPr>
        <w:t>Д</w:t>
      </w:r>
      <w:r w:rsidRPr="006151D1">
        <w:rPr>
          <w:rFonts w:ascii="Times New Roman" w:hAnsi="Times New Roman" w:cs="Times New Roman"/>
          <w:sz w:val="20"/>
          <w:szCs w:val="20"/>
        </w:rPr>
        <w:t>мкд</w:t>
      </w:r>
      <w:proofErr w:type="spellEnd"/>
      <w:r w:rsidRPr="006151D1">
        <w:rPr>
          <w:rFonts w:ascii="Times New Roman" w:hAnsi="Times New Roman" w:cs="Times New Roman"/>
          <w:sz w:val="28"/>
          <w:szCs w:val="28"/>
        </w:rPr>
        <w:t xml:space="preserve"> - доля многоквартирных домов, в отношении которых выполнены мероприятия по приведению к единой цветовой визуализации фасадной части балконов зданий, которые выходят на въездные улицы</w:t>
      </w:r>
      <w:proofErr w:type="gramStart"/>
      <w:r w:rsidRPr="006151D1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6151D1" w:rsidRPr="006151D1" w:rsidRDefault="006151D1" w:rsidP="006151D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1D1">
        <w:rPr>
          <w:rFonts w:ascii="Times New Roman" w:hAnsi="Times New Roman" w:cs="Times New Roman"/>
          <w:sz w:val="28"/>
          <w:szCs w:val="28"/>
        </w:rPr>
        <w:t>К</w:t>
      </w:r>
      <w:r w:rsidRPr="006151D1">
        <w:rPr>
          <w:rFonts w:ascii="Times New Roman" w:hAnsi="Times New Roman" w:cs="Times New Roman"/>
          <w:sz w:val="20"/>
          <w:szCs w:val="20"/>
        </w:rPr>
        <w:t>мкд</w:t>
      </w:r>
      <w:proofErr w:type="spellEnd"/>
      <w:r w:rsidRPr="006151D1">
        <w:rPr>
          <w:rFonts w:ascii="Times New Roman" w:hAnsi="Times New Roman" w:cs="Times New Roman"/>
          <w:sz w:val="28"/>
          <w:szCs w:val="28"/>
        </w:rPr>
        <w:t xml:space="preserve"> - количество многоквартирных </w:t>
      </w:r>
      <w:proofErr w:type="gramStart"/>
      <w:r w:rsidRPr="006151D1">
        <w:rPr>
          <w:rFonts w:ascii="Times New Roman" w:hAnsi="Times New Roman" w:cs="Times New Roman"/>
          <w:sz w:val="28"/>
          <w:szCs w:val="28"/>
        </w:rPr>
        <w:t>домов</w:t>
      </w:r>
      <w:proofErr w:type="gramEnd"/>
      <w:r w:rsidRPr="006151D1">
        <w:rPr>
          <w:rFonts w:ascii="Times New Roman" w:hAnsi="Times New Roman" w:cs="Times New Roman"/>
          <w:sz w:val="28"/>
          <w:szCs w:val="28"/>
        </w:rPr>
        <w:t xml:space="preserve"> на которых проводились мероприятия по приведению к единой цветовой визуализации балконов, шт.;</w:t>
      </w:r>
    </w:p>
    <w:p w:rsidR="005C0FF9" w:rsidRDefault="006151D1" w:rsidP="004436E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1D1">
        <w:rPr>
          <w:rFonts w:ascii="Times New Roman" w:hAnsi="Times New Roman" w:cs="Times New Roman"/>
          <w:sz w:val="28"/>
          <w:szCs w:val="28"/>
        </w:rPr>
        <w:t>К</w:t>
      </w:r>
      <w:r w:rsidRPr="006151D1">
        <w:rPr>
          <w:rFonts w:ascii="Times New Roman" w:hAnsi="Times New Roman" w:cs="Times New Roman"/>
          <w:sz w:val="20"/>
          <w:szCs w:val="20"/>
        </w:rPr>
        <w:t>общ</w:t>
      </w:r>
      <w:proofErr w:type="spellEnd"/>
      <w:r w:rsidRPr="006151D1">
        <w:rPr>
          <w:rFonts w:ascii="Times New Roman" w:hAnsi="Times New Roman" w:cs="Times New Roman"/>
          <w:sz w:val="28"/>
          <w:szCs w:val="28"/>
        </w:rPr>
        <w:t xml:space="preserve"> - общее количество многоквартирных домов в муниципальном образовании «Город Майкоп», шт.</w:t>
      </w:r>
    </w:p>
    <w:p w:rsidR="00F61AD8" w:rsidRDefault="003E3497" w:rsidP="003E349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3497">
        <w:rPr>
          <w:rFonts w:ascii="Times New Roman" w:hAnsi="Times New Roman" w:cs="Times New Roman"/>
          <w:sz w:val="28"/>
          <w:szCs w:val="28"/>
        </w:rPr>
        <w:t xml:space="preserve">Фактический расчет: </w:t>
      </w:r>
      <w:r w:rsidRPr="003E349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25/551*100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=4,5</w:t>
      </w: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3E3497" w:rsidRPr="003E3497" w:rsidRDefault="003E3497" w:rsidP="003E3497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Сведения</w:t>
      </w:r>
      <w:r w:rsidRPr="003E34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степени выполнения основных мероприятий, мероприятий (направлений расходов), контрольных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событий муниципальной программы представлены в Таблице№2. </w:t>
      </w: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A54FC" w:rsidRPr="00EB0DB7" w:rsidRDefault="009A54FC" w:rsidP="00F44FF5">
      <w:pPr>
        <w:tabs>
          <w:tab w:val="left" w:pos="426"/>
        </w:tabs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:rsidR="0030450F" w:rsidRPr="003E3497" w:rsidRDefault="0030450F" w:rsidP="00F44FF5">
      <w:pPr>
        <w:tabs>
          <w:tab w:val="left" w:pos="426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497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</w:t>
      </w:r>
    </w:p>
    <w:p w:rsidR="009A54FC" w:rsidRPr="003E3497" w:rsidRDefault="0030450F" w:rsidP="00F44FF5">
      <w:pPr>
        <w:tabs>
          <w:tab w:val="left" w:pos="426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степени выполнения основных мероприятий, мероприятий (направлений расходов), контрольных с</w:t>
      </w:r>
      <w:r w:rsidR="0031763C" w:rsidRPr="003E3497">
        <w:rPr>
          <w:rFonts w:ascii="Times New Roman" w:eastAsia="Calibri" w:hAnsi="Times New Roman" w:cs="Times New Roman"/>
          <w:sz w:val="28"/>
          <w:szCs w:val="28"/>
          <w:lang w:eastAsia="ru-RU"/>
        </w:rPr>
        <w:t>обытий муниципальной программы.</w:t>
      </w:r>
    </w:p>
    <w:p w:rsidR="0030450F" w:rsidRPr="00EB0DB7" w:rsidRDefault="0030450F" w:rsidP="009A54F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289"/>
        <w:gridCol w:w="2377"/>
        <w:gridCol w:w="850"/>
        <w:gridCol w:w="851"/>
        <w:gridCol w:w="992"/>
      </w:tblGrid>
      <w:tr w:rsidR="009A54FC" w:rsidRPr="003F475C" w:rsidTr="003F0858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FC" w:rsidRPr="003F475C" w:rsidRDefault="009A54FC" w:rsidP="00D97A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475C">
              <w:rPr>
                <w:rFonts w:ascii="Times New Roman" w:hAnsi="Times New Roman" w:cs="Times New Roman"/>
              </w:rPr>
              <w:t>№</w:t>
            </w:r>
            <w:r w:rsidRPr="003F475C">
              <w:rPr>
                <w:rFonts w:ascii="Times New Roman" w:hAnsi="Times New Roman" w:cs="Times New Roman"/>
              </w:rPr>
              <w:br/>
            </w:r>
            <w:proofErr w:type="gramStart"/>
            <w:r w:rsidRPr="003F475C">
              <w:rPr>
                <w:rFonts w:ascii="Times New Roman" w:hAnsi="Times New Roman" w:cs="Times New Roman"/>
              </w:rPr>
              <w:t>п</w:t>
            </w:r>
            <w:proofErr w:type="gramEnd"/>
            <w:r w:rsidRPr="003F475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FC" w:rsidRPr="003F475C" w:rsidRDefault="009A54FC" w:rsidP="00D97A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475C">
              <w:rPr>
                <w:rFonts w:ascii="Times New Roman" w:hAnsi="Times New Roman" w:cs="Times New Roman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FC" w:rsidRPr="003F475C" w:rsidRDefault="009A54FC" w:rsidP="00D97A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475C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4FC" w:rsidRPr="003F475C" w:rsidRDefault="009A54FC" w:rsidP="00D97A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475C">
              <w:rPr>
                <w:rFonts w:ascii="Times New Roman" w:hAnsi="Times New Roman" w:cs="Times New Roman"/>
              </w:rPr>
              <w:t xml:space="preserve">Показатели контрольных событий </w:t>
            </w:r>
          </w:p>
          <w:p w:rsidR="009A54FC" w:rsidRPr="003F475C" w:rsidRDefault="009A54FC" w:rsidP="00D97A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475C">
              <w:rPr>
                <w:rFonts w:ascii="Times New Roman" w:hAnsi="Times New Roman" w:cs="Times New Roman"/>
              </w:rPr>
              <w:t>(в количественном выражении) за 2022 год</w:t>
            </w:r>
          </w:p>
        </w:tc>
      </w:tr>
      <w:tr w:rsidR="005E21BB" w:rsidRPr="003F475C" w:rsidTr="003F0858">
        <w:trPr>
          <w:trHeight w:val="1210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FC" w:rsidRPr="003F475C" w:rsidRDefault="009A54FC" w:rsidP="00D97A4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FC" w:rsidRPr="003F475C" w:rsidRDefault="009A54FC" w:rsidP="00D97A4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FC" w:rsidRPr="003F475C" w:rsidRDefault="009A54FC" w:rsidP="00D97A4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FC" w:rsidRPr="003F475C" w:rsidRDefault="009A54FC" w:rsidP="00D97A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475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FC" w:rsidRPr="003F475C" w:rsidRDefault="009A54FC" w:rsidP="00D97A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475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4FC" w:rsidRPr="003F475C" w:rsidRDefault="009A54FC" w:rsidP="00D97A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475C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proofErr w:type="gramStart"/>
            <w:r w:rsidRPr="003F475C">
              <w:rPr>
                <w:rFonts w:ascii="Times New Roman" w:hAnsi="Times New Roman" w:cs="Times New Roman"/>
              </w:rPr>
              <w:t>испол</w:t>
            </w:r>
            <w:proofErr w:type="spellEnd"/>
            <w:r w:rsidRPr="003F475C">
              <w:rPr>
                <w:rFonts w:ascii="Times New Roman" w:hAnsi="Times New Roman" w:cs="Times New Roman"/>
              </w:rPr>
              <w:t>-нения</w:t>
            </w:r>
            <w:proofErr w:type="gramEnd"/>
          </w:p>
        </w:tc>
      </w:tr>
      <w:tr w:rsidR="005E21BB" w:rsidRPr="003F475C" w:rsidTr="0031763C">
        <w:trPr>
          <w:trHeight w:val="878"/>
        </w:trPr>
        <w:tc>
          <w:tcPr>
            <w:tcW w:w="93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FC" w:rsidRPr="003E3497" w:rsidRDefault="009A54FC" w:rsidP="00D97A45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 w:rsidRPr="003E3497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="0031763C" w:rsidRPr="003E3497">
              <w:rPr>
                <w:rFonts w:ascii="Times New Roman" w:hAnsi="Times New Roman" w:cs="Times New Roman"/>
                <w:bCs/>
                <w:color w:val="000000" w:themeColor="text1"/>
              </w:rPr>
              <w:t>«Формирование современной городской среды в муниципальном образовании «Город Майкоп»</w:t>
            </w:r>
          </w:p>
        </w:tc>
      </w:tr>
      <w:tr w:rsidR="000F45F6" w:rsidRPr="003F475C" w:rsidTr="003F0858">
        <w:trPr>
          <w:trHeight w:val="1812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Благоустройство дворовых территорий многоквартирных домов на территории муниципального образования «Город Майкоп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F6" w:rsidRPr="003F475C" w:rsidRDefault="000F45F6" w:rsidP="000F45F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5F6" w:rsidRPr="003F475C" w:rsidTr="003F0858">
        <w:trPr>
          <w:trHeight w:val="169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Расходы на капитальный ремонт дворовых территорий многоквартирных жилых домов, проездов к дворовым территориям многоквартирных жилых домов на территории муниципального образования «Город Майкоп»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F6" w:rsidRPr="003F475C" w:rsidRDefault="000F45F6" w:rsidP="000F45F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5F6" w:rsidRPr="003F475C" w:rsidTr="003F0858">
        <w:trPr>
          <w:trHeight w:val="1969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1.1.1.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проектно-сметной документации, получившей положительное заключение государственной экспертизы, ед.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6F33FC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31763C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31763C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F45F6" w:rsidRPr="003F475C" w:rsidTr="003F0858">
        <w:trPr>
          <w:trHeight w:val="1415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Расходы на реализацию мероприятий по благоустройству территории городских округов с численностью населения свыше 150 тысяч человек (Благоустройство дворовых территорий 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многоквартирных домов)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Управление ЖКХ и благоустройства;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реализованных проектов по благоустройству дворовых и общественных территорий, ед.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6151D1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6151D1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F45F6" w:rsidRPr="003F475C" w:rsidTr="003F0858">
        <w:trPr>
          <w:trHeight w:val="466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Внедрение современных архитектурно-строительных систем, объемно-планировочных и конструктивных решений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Субсидия в целях финансового обеспечения затрат на реализацию мероприятий по приведению к единой цветовой визуализации фасадной части балконов зданий, с учетом использования современных объемно-планировочных конструктивных решений (Резервный фонд Администрации муниципального образования «Город Майкоп»)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2.1.1.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green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балконов, в отношении которых выполнены мероприятия по приведению к единой цветовой визуализации фасадной части,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победители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6151D1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6151D1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F45F6" w:rsidRPr="003F475C" w:rsidTr="003F0858">
        <w:trPr>
          <w:trHeight w:val="602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Расходы на мероприятия по внедрению современных архитектурно-строительных систем, объемно-планировочных и конструктивных решений (субсидия в целях финансового обеспечения затрат на реализацию мероприятий по приведению к единой цветовой визуализации фасадной части балконов зданий, которые выходят на въездные улицы с учетом использования современных объемно-планировочных конструктивных решений)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2.2.1.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балконов, в отношении которых выполнены мероприятия по приведению к единой цветовой визуализации фасадной части,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6F33FC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6151D1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BB11DD" w:rsidRDefault="006151D1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Проведение мероприятий по благоустройству общественных территорий муниципального образования «Город Майкоп»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благоустройству общественных территорий муниципального образования «Город Майкоп»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3.1.1.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Количество проектно-сметной документации, получившей положительное заключение государственной 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экспертизы, ед.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6151D1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6151D1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Расходы на озеленение территорий муниципальных образований (Озеленение территории муниципального образования «Город Майкоп»)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3.2.1.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высаженных саженцев деревьев,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6F33FC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red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6151D1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6151D1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Расходы на реализацию мероприятий по благоустройству территории городских округов с численностью населения свыше 150 тысяч человек (Благоустройство пешеходной аллеи им. Шварца)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3.3.1.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установленных скамеек,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6151D1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6151D1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3.3.2.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установленных урн,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6151D1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6151D1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3.3.3.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установленных опор уличного освещения,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6151D1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6151D1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Расходы на реализацию мероприятий по благоустройству территории городских округов с численностью населения свыше 150 тысяч человек (Благоустройство территории, прилегающей к Русскому государственному драматическому театру Республики Адыгея имени А.С. Пушкина)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3.4.1.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Площадь благоустраиваемого участка, </w:t>
            </w:r>
            <w:proofErr w:type="spell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кв.м</w:t>
            </w:r>
            <w:proofErr w:type="spell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6151D1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6151D1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реализацию мероприятий по благоустройству территории городских округов с </w:t>
            </w:r>
            <w:r w:rsidRPr="001248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численностью населения свыше 150 тысяч человек (Обустройство тротуаров, входящих в городской туристский маршрут)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Управление ЖКХ и благоустройства;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МКУ </w:t>
            </w: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«Благоустройство»;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3.5.1.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обустроенных тротуаров,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44930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Pr="0016255A" w:rsidRDefault="0016255A" w:rsidP="001625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6255A" w:rsidRPr="0016255A" w:rsidRDefault="0016255A" w:rsidP="001625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6255A" w:rsidRPr="0016255A" w:rsidRDefault="0016255A" w:rsidP="001625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6255A" w:rsidRPr="0016255A" w:rsidRDefault="0016255A" w:rsidP="001625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6255A" w:rsidRPr="0016255A" w:rsidRDefault="0016255A" w:rsidP="00162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55A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55A" w:rsidRPr="0016255A" w:rsidRDefault="0016255A" w:rsidP="0016255A">
            <w:pPr>
              <w:rPr>
                <w:lang w:eastAsia="ru-RU"/>
              </w:rPr>
            </w:pPr>
          </w:p>
          <w:p w:rsidR="0016255A" w:rsidRPr="0016255A" w:rsidRDefault="0016255A" w:rsidP="0016255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6255A" w:rsidRPr="0016255A" w:rsidRDefault="0016255A" w:rsidP="0016255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6255A" w:rsidRPr="0016255A" w:rsidRDefault="0016255A" w:rsidP="00162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3.6.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по благоустройству территории городских округов с численностью населения свыше 150 тысяч человек (Благоустройство территории, прилегающей к государственному бюджетному учреждению Республики Адыгея "Государственная филармония Республики Адыгея")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3.6.1.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опор уличного освещения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шт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3.6.2.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65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покрытий из тротуарной плитки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кв. м.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победители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3.6.3.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высаженных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деревьев,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3.6.4.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высаженных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кустарников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3.6.5.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газонов, кв. м.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3.6.6.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перголы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 качелями,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Проведение мероприятий по благоустройству МУП «Городской парк культуры и отдыха»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Расходы на преобразование отрасли городского хозяйства посредством внедрения цифровых технологий и 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платформенных решений (субсидия МУП «Городской парк культуры и отдыха на финансовое обеспечение затрат, связанных с установкой камер </w:t>
            </w:r>
            <w:proofErr w:type="spell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видеофиксации</w:t>
            </w:r>
            <w:proofErr w:type="spell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установленных камер,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Расходы на озеленение территорий муниципальных образований (Субсидия МУП "Городской парк культуры и отдыха" муниципального образования "Город Майкоп" на финансовое обеспечение затрат, связанных с озеленением территории)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4.2.1.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высаженных саженцев деревьев,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692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Расходы на реализацию мероприятий по благоустройству территории городских округов с численностью населения свыше 150 тысяч человек (Субсидия МУП "Городской парк культуры и отдыха" муниципального образования "Город Майкоп" на финансовое обеспечение затрат, связанных с ремонтом туалета на территории парка)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4.3.1.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отремонтированных</w:t>
            </w:r>
            <w:r w:rsidRPr="00124880">
              <w:rPr>
                <w:rFonts w:ascii="Times New Roman" w:hAnsi="Times New Roman" w:cs="Times New Roman"/>
              </w:rPr>
              <w:t xml:space="preserve"> 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туалетов,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Расходы на реализацию мероприятий по благоустройству территории городских округов с численностью населения свыше 150 тысяч человек (Субсидия МУП "Городской 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парк культуры и отдыха" муниципального образования "Город Майкоп" на финансовое обеспечение затрат, связанных с обустройством дорожек)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4.4.1.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Протяженность обустроенных пешеходных и велосипедных дорожек, </w:t>
            </w:r>
            <w:proofErr w:type="gram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Расходы на реализацию мероприятий по благоустройству территории городских округов с численностью населения свыше 150 тысяч человек (Субсидия МУП "Городской парк культуры и отдыха" муниципального образования "Город Майкоп" на финансовое обеспечение затрат на обустройство системы </w:t>
            </w:r>
            <w:proofErr w:type="spell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автополива</w:t>
            </w:r>
            <w:proofErr w:type="spell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4.5.1.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Площадь </w:t>
            </w:r>
            <w:proofErr w:type="gram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участков</w:t>
            </w:r>
            <w:proofErr w:type="gram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 которых организован автоматический полив зеленых насаждений, кв. м.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7100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Реализация Федерального проекта «Формирование комфортной городской среды»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победители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благоустроенных дворовых территорий многоквартирных домов, ед.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благоустроенных общественных территорий, ед.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Количество подготовленных проектно-сметных документаций,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C2ABD" w:rsidRPr="00EB0DB7" w:rsidRDefault="002C2ABD" w:rsidP="009A54F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1DC" w:rsidRDefault="00F461DC" w:rsidP="004436E5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C4832" w:rsidRPr="0016255A" w:rsidRDefault="008C4832" w:rsidP="0016255A">
      <w:pPr>
        <w:tabs>
          <w:tab w:val="left" w:pos="142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16255A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Анализ факторов, повлиявших на ход реализации муниципальной программы.</w:t>
      </w:r>
    </w:p>
    <w:p w:rsidR="008C4832" w:rsidRPr="0016255A" w:rsidRDefault="00EC54AE" w:rsidP="00EC54AE">
      <w:pPr>
        <w:tabs>
          <w:tab w:val="left" w:pos="142"/>
          <w:tab w:val="left" w:pos="1755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6255A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</w:p>
    <w:p w:rsidR="0031763C" w:rsidRPr="0016255A" w:rsidRDefault="0016255A" w:rsidP="0031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55A">
        <w:rPr>
          <w:rFonts w:ascii="Times New Roman" w:hAnsi="Times New Roman" w:cs="Times New Roman"/>
          <w:sz w:val="28"/>
          <w:szCs w:val="28"/>
        </w:rPr>
        <w:t xml:space="preserve">Дополнительное выделение денежных средств из республиканского бюджета на благоустройство дворовых территорий в рамках реализации муниципальной программы, а так же экономия, сформированная по ранее заключенным государственным контрактам. Указанные факторы позволили дополнительно произвести мероприятия по благоустройству 4 дворовых территорий многоквартирных домов. </w:t>
      </w:r>
    </w:p>
    <w:p w:rsidR="003F0858" w:rsidRDefault="0016255A" w:rsidP="0016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Выделение дополнительных денежных средств на благоустройство общественных территорий в честь празднования 100-летия республики Адыгея</w:t>
      </w:r>
      <w:proofErr w:type="gramStart"/>
      <w:r>
        <w:rPr>
          <w:rFonts w:ascii="Times New Roman" w:hAnsi="Times New Roman" w:cs="Times New Roman"/>
          <w:sz w:val="27"/>
          <w:szCs w:val="27"/>
        </w:rPr>
        <w:t>.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Данный фактор позволил в рамках реализации муниципальной программы в 2022 году провести мероприятия по благоустройству 7 общественных территорий. </w:t>
      </w:r>
    </w:p>
    <w:p w:rsidR="0016255A" w:rsidRDefault="0016255A" w:rsidP="0016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6255A" w:rsidRDefault="0016255A" w:rsidP="0016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6255A" w:rsidRDefault="0016255A" w:rsidP="0016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6255A" w:rsidRDefault="0016255A" w:rsidP="0016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6255A" w:rsidRDefault="0016255A" w:rsidP="0016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6255A" w:rsidRDefault="0016255A" w:rsidP="0016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6255A" w:rsidRDefault="0016255A" w:rsidP="0016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6255A" w:rsidRDefault="0016255A" w:rsidP="0016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6255A" w:rsidRDefault="0016255A" w:rsidP="0016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6255A" w:rsidRDefault="0016255A" w:rsidP="0016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862FE" w:rsidRPr="003F0858" w:rsidRDefault="008C4832" w:rsidP="003F0858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hAnsi="Times New Roman" w:cs="Times New Roman"/>
          <w:sz w:val="27"/>
          <w:szCs w:val="27"/>
          <w:highlight w:val="yellow"/>
        </w:rPr>
      </w:pPr>
      <w:r w:rsidRPr="003F0858">
        <w:rPr>
          <w:rFonts w:ascii="Times New Roman" w:hAnsi="Times New Roman" w:cs="Times New Roman"/>
          <w:sz w:val="27"/>
          <w:szCs w:val="27"/>
        </w:rPr>
        <w:t>Отчет об использовании бюджетных ассигнований бюджета муниципального образования «Город Майкоп» и иных средств на реал</w:t>
      </w:r>
      <w:r w:rsidR="0031763C" w:rsidRPr="003F0858">
        <w:rPr>
          <w:rFonts w:ascii="Times New Roman" w:hAnsi="Times New Roman" w:cs="Times New Roman"/>
          <w:sz w:val="27"/>
          <w:szCs w:val="27"/>
        </w:rPr>
        <w:t xml:space="preserve">изацию муниципальной программы </w:t>
      </w:r>
      <w:r w:rsidRPr="003F0858">
        <w:rPr>
          <w:rFonts w:ascii="Times New Roman" w:hAnsi="Times New Roman" w:cs="Times New Roman"/>
          <w:sz w:val="27"/>
          <w:szCs w:val="27"/>
        </w:rPr>
        <w:t>за 202</w:t>
      </w:r>
      <w:r w:rsidR="007C66EB" w:rsidRPr="003F0858">
        <w:rPr>
          <w:rFonts w:ascii="Times New Roman" w:hAnsi="Times New Roman" w:cs="Times New Roman"/>
          <w:sz w:val="27"/>
          <w:szCs w:val="27"/>
        </w:rPr>
        <w:t>2</w:t>
      </w:r>
      <w:r w:rsidRPr="003F0858">
        <w:rPr>
          <w:rFonts w:ascii="Times New Roman" w:hAnsi="Times New Roman" w:cs="Times New Roman"/>
          <w:sz w:val="27"/>
          <w:szCs w:val="27"/>
        </w:rPr>
        <w:t xml:space="preserve"> год приведен в Таблице № 3.</w:t>
      </w:r>
    </w:p>
    <w:p w:rsidR="001862FE" w:rsidRPr="00EB0DB7" w:rsidRDefault="001862FE" w:rsidP="007C66EB">
      <w:pPr>
        <w:spacing w:after="0" w:line="240" w:lineRule="auto"/>
        <w:ind w:right="282"/>
        <w:jc w:val="right"/>
        <w:rPr>
          <w:rFonts w:ascii="Times New Roman" w:hAnsi="Times New Roman" w:cs="Times New Roman"/>
          <w:sz w:val="28"/>
          <w:szCs w:val="28"/>
        </w:rPr>
        <w:sectPr w:rsidR="001862FE" w:rsidRPr="00EB0DB7" w:rsidSect="00B64212">
          <w:headerReference w:type="default" r:id="rId9"/>
          <w:pgSz w:w="11906" w:h="16838"/>
          <w:pgMar w:top="1021" w:right="851" w:bottom="1021" w:left="1701" w:header="709" w:footer="709" w:gutter="0"/>
          <w:cols w:space="708"/>
          <w:titlePg/>
          <w:docGrid w:linePitch="360"/>
        </w:sectPr>
      </w:pPr>
    </w:p>
    <w:p w:rsidR="008C4832" w:rsidRPr="00EB0DB7" w:rsidRDefault="00271603" w:rsidP="007C66EB">
      <w:pPr>
        <w:spacing w:after="0" w:line="240" w:lineRule="auto"/>
        <w:ind w:right="282"/>
        <w:jc w:val="right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4D103" wp14:editId="44631A02">
                <wp:simplePos x="0" y="0"/>
                <wp:positionH relativeFrom="column">
                  <wp:posOffset>4191000</wp:posOffset>
                </wp:positionH>
                <wp:positionV relativeFrom="paragraph">
                  <wp:posOffset>-461483</wp:posOffset>
                </wp:positionV>
                <wp:extent cx="457200" cy="276046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76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55A" w:rsidRDefault="0016255A" w:rsidP="00271603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330pt;margin-top:-36.35pt;width:36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" fillcolor="white [3201]" stroked="f" strokeweight="1pt">
                <v:textbox>
                  <w:txbxContent>
                    <w:p w:rsidR="00A95986" w:rsidRDefault="00143D8A" w:rsidP="00271603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8C4832" w:rsidRPr="00EB0DB7">
        <w:rPr>
          <w:rFonts w:ascii="Times New Roman" w:hAnsi="Times New Roman" w:cs="Times New Roman"/>
          <w:sz w:val="28"/>
          <w:szCs w:val="28"/>
        </w:rPr>
        <w:t>Таблица № 3</w:t>
      </w:r>
    </w:p>
    <w:p w:rsidR="008C4832" w:rsidRPr="003E3497" w:rsidRDefault="008C4832" w:rsidP="007C66EB">
      <w:pPr>
        <w:spacing w:after="0" w:line="240" w:lineRule="auto"/>
        <w:ind w:right="282"/>
        <w:jc w:val="right"/>
        <w:rPr>
          <w:rFonts w:ascii="Times New Roman" w:hAnsi="Times New Roman" w:cs="Times New Roman"/>
          <w:sz w:val="28"/>
          <w:szCs w:val="28"/>
        </w:rPr>
      </w:pPr>
    </w:p>
    <w:p w:rsidR="008C4832" w:rsidRPr="003E3497" w:rsidRDefault="005C2467" w:rsidP="005C2467">
      <w:pPr>
        <w:pStyle w:val="1"/>
        <w:spacing w:before="0" w:after="0" w:line="240" w:lineRule="auto"/>
        <w:ind w:right="282"/>
        <w:jc w:val="center"/>
        <w:rPr>
          <w:rFonts w:ascii="Times New Roman" w:hAnsi="Times New Roman"/>
          <w:b w:val="0"/>
          <w:sz w:val="28"/>
          <w:szCs w:val="28"/>
        </w:rPr>
      </w:pPr>
      <w:r w:rsidRPr="003E3497">
        <w:rPr>
          <w:rFonts w:ascii="Times New Roman" w:hAnsi="Times New Roman"/>
          <w:b w:val="0"/>
          <w:sz w:val="28"/>
          <w:szCs w:val="28"/>
        </w:rPr>
        <w:t>Отчёт</w:t>
      </w:r>
      <w:r w:rsidRPr="003E3497">
        <w:rPr>
          <w:rFonts w:ascii="Times New Roman" w:hAnsi="Times New Roman"/>
          <w:b w:val="0"/>
          <w:sz w:val="28"/>
          <w:szCs w:val="28"/>
        </w:rPr>
        <w:br/>
        <w:t xml:space="preserve">об использовании бюджетных ассигнований бюджета муниципального образования </w:t>
      </w:r>
      <w:r w:rsidRPr="003E3497"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3E3497">
        <w:rPr>
          <w:rFonts w:ascii="Times New Roman" w:hAnsi="Times New Roman"/>
          <w:b w:val="0"/>
          <w:sz w:val="28"/>
          <w:szCs w:val="28"/>
        </w:rPr>
        <w:t>Город Майкоп</w:t>
      </w:r>
      <w:r w:rsidRPr="003E3497">
        <w:rPr>
          <w:rFonts w:ascii="Times New Roman" w:hAnsi="Times New Roman"/>
          <w:b w:val="0"/>
          <w:sz w:val="28"/>
          <w:szCs w:val="28"/>
          <w:lang w:val="ru-RU"/>
        </w:rPr>
        <w:t>»</w:t>
      </w:r>
      <w:r w:rsidRPr="003E3497">
        <w:rPr>
          <w:rFonts w:ascii="Times New Roman" w:hAnsi="Times New Roman"/>
          <w:b w:val="0"/>
          <w:sz w:val="28"/>
          <w:szCs w:val="28"/>
        </w:rPr>
        <w:t xml:space="preserve"> и иных средств (средств внебюджетных источников) на реал</w:t>
      </w:r>
      <w:r w:rsidR="004436E5" w:rsidRPr="003E3497">
        <w:rPr>
          <w:rFonts w:ascii="Times New Roman" w:hAnsi="Times New Roman"/>
          <w:b w:val="0"/>
          <w:sz w:val="28"/>
          <w:szCs w:val="28"/>
        </w:rPr>
        <w:t>изацию муниципальной программы.</w:t>
      </w:r>
    </w:p>
    <w:p w:rsidR="005C2467" w:rsidRPr="003E3497" w:rsidRDefault="005C2467" w:rsidP="005C2467">
      <w:pPr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14160" w:type="dxa"/>
        <w:tblLook w:val="04A0" w:firstRow="1" w:lastRow="0" w:firstColumn="1" w:lastColumn="0" w:noHBand="0" w:noVBand="1"/>
      </w:tblPr>
      <w:tblGrid>
        <w:gridCol w:w="3040"/>
        <w:gridCol w:w="1580"/>
        <w:gridCol w:w="1580"/>
        <w:gridCol w:w="960"/>
        <w:gridCol w:w="960"/>
        <w:gridCol w:w="960"/>
        <w:gridCol w:w="960"/>
        <w:gridCol w:w="1580"/>
        <w:gridCol w:w="1580"/>
        <w:gridCol w:w="960"/>
      </w:tblGrid>
      <w:tr w:rsidR="005E49DC" w:rsidRPr="003E3497" w:rsidTr="003E3497">
        <w:trPr>
          <w:trHeight w:val="1549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3E3497" w:rsidRDefault="005E49DC" w:rsidP="0056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</w:t>
            </w:r>
            <w:r w:rsidR="0056306F"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ование муниципальной программы</w:t>
            </w: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основного мероприятия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3E349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Расходы за счёт средств бюджета муниципального образования «Город Майкоп»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3E349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Расходы за счёт средств внебюджетных источников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3E349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Итого расходы на реализацию муниципальной программы</w:t>
            </w:r>
          </w:p>
        </w:tc>
      </w:tr>
      <w:tr w:rsidR="005E49DC" w:rsidRPr="00F02387" w:rsidTr="003E3497">
        <w:trPr>
          <w:trHeight w:val="1699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9DC" w:rsidRPr="00F02387" w:rsidRDefault="005E49DC" w:rsidP="005E4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9DC" w:rsidRPr="003E3497" w:rsidRDefault="005E49DC" w:rsidP="005E49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Сводная бюджетная</w:t>
            </w:r>
            <w:r w:rsid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роспись на 31 декабря 2022 г.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9DC" w:rsidRPr="003E3497" w:rsidRDefault="005E49DC" w:rsidP="005E49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9DC" w:rsidRPr="003E3497" w:rsidRDefault="005E49DC" w:rsidP="005E49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% исполнения</w:t>
            </w: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9DC" w:rsidRPr="003E3497" w:rsidRDefault="005E49DC" w:rsidP="005E49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9DC" w:rsidRPr="003E3497" w:rsidRDefault="005E49DC" w:rsidP="005E49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9DC" w:rsidRPr="003E3497" w:rsidRDefault="005E49DC" w:rsidP="005E49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9DC" w:rsidRPr="003E3497" w:rsidRDefault="005E49DC" w:rsidP="005E49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Сводная бюджетная роспись на 31 де</w:t>
            </w:r>
            <w:r w:rsid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кабря 2022 г.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9DC" w:rsidRPr="003E3497" w:rsidRDefault="005E49DC" w:rsidP="005E49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9DC" w:rsidRPr="003E3497" w:rsidRDefault="005E49DC" w:rsidP="005E49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% исполнения</w:t>
            </w: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</w:tr>
      <w:tr w:rsidR="005E49DC" w:rsidRPr="00F02387" w:rsidTr="003E3497">
        <w:trPr>
          <w:trHeight w:val="2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F0238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F0238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F0238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F0238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F0238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F0238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F0238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F0238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F0238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F0238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F461DC" w:rsidRPr="00F02387" w:rsidTr="005E49DC">
        <w:trPr>
          <w:trHeight w:val="30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Программа «Формирование современной городской среды в муниципальном образовании «Город Майкоп»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348373,4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258548,1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74,2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348373,4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258548,1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74,2</w:t>
            </w:r>
          </w:p>
        </w:tc>
      </w:tr>
      <w:tr w:rsidR="00717859" w:rsidRPr="00F02387" w:rsidTr="005E49DC">
        <w:trPr>
          <w:trHeight w:val="15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F4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 «Благоустройство дворовых территорий многоквартирных домов на территории муниципального образования «Город Майкоп»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16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16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14885,7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71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14885,7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717859" w:rsidRDefault="00717859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78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96,9</w:t>
            </w:r>
          </w:p>
        </w:tc>
      </w:tr>
      <w:tr w:rsidR="00F461DC" w:rsidRPr="00F02387" w:rsidTr="005E49DC">
        <w:trPr>
          <w:trHeight w:val="3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Основное мероприятие «Внедрение современных архитектурно-строительных систем, объемно-планировочных и конструктивных решений»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11565,9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3245C8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11565,9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11565,9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3245C8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11565,9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717859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78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717859" w:rsidRPr="00F02387" w:rsidTr="005E49DC">
        <w:trPr>
          <w:trHeight w:val="11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F4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Основное мероприятие «Проведение мероприятий по благоустройству общественных территорий муниципального образования «Город Майкоп»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16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165277,0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16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76299,0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165277,0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76299,0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717859" w:rsidRDefault="00717859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78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46,2</w:t>
            </w:r>
          </w:p>
        </w:tc>
      </w:tr>
      <w:tr w:rsidR="00717859" w:rsidRPr="00F02387" w:rsidTr="0016255A">
        <w:trPr>
          <w:trHeight w:val="1125"/>
        </w:trPr>
        <w:tc>
          <w:tcPr>
            <w:tcW w:w="141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59" w:rsidRPr="00717859" w:rsidRDefault="003245C8" w:rsidP="00324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Оплата выполненных работ была произведена не в полном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объеме, в том числе, в рамках дополнительно предоставленных денежных средств из федерального бюджета. В связи с ограниченными сроками Министерством строительства, транспорта, жилищно-коммунального и дорожного хозяйства Республики Адыгея не были внесены изменения в ранее заключенное соглашение о предоставлении денежных средств на выполнение работ по ремонту тротуаров в центральной части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айкопа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входящих в туристический маршрут, государственные контракты заключены с переходящим сроком на последующий финансовый год (2023) выполнения работ и ее оплаты.</w:t>
            </w:r>
          </w:p>
        </w:tc>
      </w:tr>
      <w:tr w:rsidR="00717859" w:rsidRPr="00F02387" w:rsidTr="005E49DC">
        <w:trPr>
          <w:trHeight w:val="187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F4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Основное мероприятие «Проведение мероприятий по благоустройству МУП «Городской парк культуры и отдыха»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16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34316,1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16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33951,1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34316,1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3E3497" w:rsidRDefault="00717859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33951,1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59" w:rsidRPr="00717859" w:rsidRDefault="00717859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78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98,9</w:t>
            </w:r>
          </w:p>
        </w:tc>
      </w:tr>
      <w:tr w:rsidR="00F461DC" w:rsidRPr="00F02387" w:rsidTr="005E49DC">
        <w:trPr>
          <w:trHeight w:val="187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121846,4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121846,4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121846,4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121846,4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DC" w:rsidRPr="003E3497" w:rsidRDefault="00F461DC" w:rsidP="00F4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</w:tbl>
    <w:p w:rsidR="001862FE" w:rsidRPr="00EB0DB7" w:rsidRDefault="001862FE" w:rsidP="005C2467">
      <w:pPr>
        <w:rPr>
          <w:rFonts w:ascii="Times New Roman" w:hAnsi="Times New Roman" w:cs="Times New Roman"/>
          <w:sz w:val="28"/>
          <w:szCs w:val="28"/>
          <w:lang w:val="x-none"/>
        </w:rPr>
        <w:sectPr w:rsidR="001862FE" w:rsidRPr="00EB0DB7" w:rsidSect="001862FE">
          <w:pgSz w:w="16838" w:h="11906" w:orient="landscape"/>
          <w:pgMar w:top="1134" w:right="1021" w:bottom="1134" w:left="1588" w:header="709" w:footer="709" w:gutter="0"/>
          <w:cols w:space="708"/>
          <w:titlePg/>
          <w:docGrid w:linePitch="360"/>
        </w:sectPr>
      </w:pPr>
    </w:p>
    <w:p w:rsidR="004B4F31" w:rsidRDefault="00143D8A" w:rsidP="003F0858">
      <w:pPr>
        <w:spacing w:after="0" w:line="240" w:lineRule="auto"/>
        <w:ind w:left="142" w:right="282" w:firstLine="5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18</w:t>
      </w:r>
    </w:p>
    <w:p w:rsidR="003F0858" w:rsidRDefault="003F0858" w:rsidP="003F0858">
      <w:pPr>
        <w:spacing w:after="0" w:line="240" w:lineRule="auto"/>
        <w:ind w:left="142" w:right="282" w:firstLine="5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3D8A" w:rsidRDefault="00143D8A" w:rsidP="00143D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муниципальной программы </w:t>
      </w:r>
      <w:r w:rsidRPr="00563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«Формирование современной городской среды в муниципальном образовании «Город Майкоп»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внесены следующие изменения:</w:t>
      </w:r>
    </w:p>
    <w:p w:rsidR="00143D8A" w:rsidRPr="00657DEB" w:rsidRDefault="00143D8A" w:rsidP="00143D8A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DB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507D2C">
        <w:rPr>
          <w:rFonts w:ascii="Times New Roman" w:hAnsi="Times New Roman" w:cs="Times New Roman"/>
          <w:sz w:val="28"/>
          <w:szCs w:val="28"/>
        </w:rPr>
        <w:t>01.03.2022</w:t>
      </w:r>
      <w:r w:rsidRPr="00507D2C">
        <w:rPr>
          <w:rFonts w:ascii="Times New Roman" w:eastAsia="Times New Roman" w:hAnsi="Times New Roman" w:cs="Times New Roman"/>
          <w:sz w:val="28"/>
          <w:szCs w:val="28"/>
        </w:rPr>
        <w:t> № </w:t>
      </w:r>
      <w:r w:rsidRPr="00507D2C">
        <w:rPr>
          <w:rFonts w:ascii="Times New Roman" w:hAnsi="Times New Roman" w:cs="Times New Roman"/>
          <w:sz w:val="28"/>
          <w:szCs w:val="28"/>
        </w:rPr>
        <w:t>172</w:t>
      </w:r>
      <w:r w:rsidRPr="00EB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о бюджете муниципального образования «Город Майкоп» на 2022 год и плановый период 2023 и 2024 годов;</w:t>
      </w:r>
    </w:p>
    <w:p w:rsidR="00143D8A" w:rsidRPr="00AF7CA0" w:rsidRDefault="00143D8A" w:rsidP="00143D8A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CA0">
        <w:rPr>
          <w:rFonts w:ascii="Times New Roman" w:eastAsia="Times New Roman" w:hAnsi="Times New Roman" w:cs="Times New Roman"/>
          <w:sz w:val="28"/>
          <w:szCs w:val="28"/>
        </w:rPr>
        <w:t xml:space="preserve">от 02.09.2022 № 815 </w:t>
      </w:r>
      <w:r w:rsidR="00AF7CA0" w:rsidRPr="00AF7CA0">
        <w:rPr>
          <w:rFonts w:ascii="Times New Roman" w:eastAsia="Times New Roman" w:hAnsi="Times New Roman" w:cs="Times New Roman"/>
          <w:sz w:val="28"/>
          <w:szCs w:val="28"/>
        </w:rPr>
        <w:t xml:space="preserve">в связи с изменением бюджетных ассигнований, </w:t>
      </w:r>
      <w:r w:rsidRPr="00AF7CA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 5.5.2. постановления Администрации муниципального образования «Город Майкоп» от 05.08.2021 № 263</w:t>
      </w:r>
      <w:r w:rsidR="00AF7CA0" w:rsidRPr="00AF7C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43D8A" w:rsidRDefault="00143D8A" w:rsidP="00143D8A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DB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27.10.2022 </w:t>
      </w:r>
      <w:r w:rsidRPr="00EB0DB7">
        <w:rPr>
          <w:rFonts w:ascii="Times New Roman" w:eastAsia="Times New Roman" w:hAnsi="Times New Roman" w:cs="Times New Roman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</w:rPr>
        <w:t>982</w:t>
      </w:r>
      <w:r w:rsidRPr="00EB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внесением изменения, на основе которых составляется проект бюджета муниципального образования «Город Майкоп» на очередной финансовый год и на плановый период;</w:t>
      </w:r>
    </w:p>
    <w:p w:rsidR="00143D8A" w:rsidRPr="00657DEB" w:rsidRDefault="00143D8A" w:rsidP="00143D8A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DB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B0DB7"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EB0DB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EB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со сводной бюджетной росписью по состоянию на 31.12.2022.</w:t>
      </w:r>
    </w:p>
    <w:p w:rsidR="00143D8A" w:rsidRPr="00EB0DB7" w:rsidRDefault="00143D8A" w:rsidP="003F0858">
      <w:pPr>
        <w:spacing w:after="0" w:line="240" w:lineRule="auto"/>
        <w:ind w:left="142" w:right="282" w:firstLine="5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54FC" w:rsidRPr="00EB0DB7" w:rsidRDefault="00F44FF5" w:rsidP="009A54F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9A54FC" w:rsidRPr="00EB0DB7" w:rsidSect="00B64212"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3ED" w:rsidRDefault="001253ED" w:rsidP="00CC2E67">
      <w:pPr>
        <w:spacing w:after="0" w:line="240" w:lineRule="auto"/>
      </w:pPr>
      <w:r>
        <w:separator/>
      </w:r>
    </w:p>
  </w:endnote>
  <w:endnote w:type="continuationSeparator" w:id="0">
    <w:p w:rsidR="001253ED" w:rsidRDefault="001253ED" w:rsidP="00CC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3ED" w:rsidRDefault="001253ED" w:rsidP="00CC2E67">
      <w:pPr>
        <w:spacing w:after="0" w:line="240" w:lineRule="auto"/>
      </w:pPr>
      <w:r>
        <w:separator/>
      </w:r>
    </w:p>
  </w:footnote>
  <w:footnote w:type="continuationSeparator" w:id="0">
    <w:p w:rsidR="001253ED" w:rsidRDefault="001253ED" w:rsidP="00CC2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293914"/>
      <w:docPartObj>
        <w:docPartGallery w:val="Page Numbers (Top of Page)"/>
        <w:docPartUnique/>
      </w:docPartObj>
    </w:sdtPr>
    <w:sdtContent>
      <w:p w:rsidR="0016255A" w:rsidRDefault="001625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5C8">
          <w:rPr>
            <w:noProof/>
          </w:rPr>
          <w:t>16</w:t>
        </w:r>
        <w:r>
          <w:fldChar w:fldCharType="end"/>
        </w:r>
      </w:p>
    </w:sdtContent>
  </w:sdt>
  <w:p w:rsidR="0016255A" w:rsidRDefault="001625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6761B"/>
    <w:multiLevelType w:val="hybridMultilevel"/>
    <w:tmpl w:val="E84C2C9C"/>
    <w:lvl w:ilvl="0" w:tplc="806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67"/>
    <w:rsid w:val="00005085"/>
    <w:rsid w:val="0001559A"/>
    <w:rsid w:val="0001723F"/>
    <w:rsid w:val="00020806"/>
    <w:rsid w:val="00063246"/>
    <w:rsid w:val="00081E5C"/>
    <w:rsid w:val="000935F2"/>
    <w:rsid w:val="000A28F9"/>
    <w:rsid w:val="000B4F00"/>
    <w:rsid w:val="000C15AC"/>
    <w:rsid w:val="000C171F"/>
    <w:rsid w:val="000C39D8"/>
    <w:rsid w:val="000E114F"/>
    <w:rsid w:val="000E20AC"/>
    <w:rsid w:val="000F45F6"/>
    <w:rsid w:val="000F5672"/>
    <w:rsid w:val="00100076"/>
    <w:rsid w:val="001253ED"/>
    <w:rsid w:val="00143D8A"/>
    <w:rsid w:val="0016255A"/>
    <w:rsid w:val="001862FE"/>
    <w:rsid w:val="001A0B22"/>
    <w:rsid w:val="001C66B1"/>
    <w:rsid w:val="00227E55"/>
    <w:rsid w:val="00271603"/>
    <w:rsid w:val="00274A3C"/>
    <w:rsid w:val="002C2ABD"/>
    <w:rsid w:val="00302061"/>
    <w:rsid w:val="0030450F"/>
    <w:rsid w:val="0031763C"/>
    <w:rsid w:val="003245C8"/>
    <w:rsid w:val="00327690"/>
    <w:rsid w:val="00346153"/>
    <w:rsid w:val="00354712"/>
    <w:rsid w:val="003A4A30"/>
    <w:rsid w:val="003B3FF7"/>
    <w:rsid w:val="003C0DC1"/>
    <w:rsid w:val="003D047D"/>
    <w:rsid w:val="003E3497"/>
    <w:rsid w:val="003F0858"/>
    <w:rsid w:val="003F475C"/>
    <w:rsid w:val="004301D4"/>
    <w:rsid w:val="00437B87"/>
    <w:rsid w:val="004436E5"/>
    <w:rsid w:val="004635A3"/>
    <w:rsid w:val="004662C8"/>
    <w:rsid w:val="004A2E93"/>
    <w:rsid w:val="004B4F31"/>
    <w:rsid w:val="004C5769"/>
    <w:rsid w:val="004C78C9"/>
    <w:rsid w:val="00500727"/>
    <w:rsid w:val="00507D2C"/>
    <w:rsid w:val="00512A9D"/>
    <w:rsid w:val="0052067D"/>
    <w:rsid w:val="00531234"/>
    <w:rsid w:val="00533689"/>
    <w:rsid w:val="0054329A"/>
    <w:rsid w:val="00544E3C"/>
    <w:rsid w:val="00547792"/>
    <w:rsid w:val="00550C15"/>
    <w:rsid w:val="00554939"/>
    <w:rsid w:val="00561964"/>
    <w:rsid w:val="0056306F"/>
    <w:rsid w:val="00563611"/>
    <w:rsid w:val="00573B95"/>
    <w:rsid w:val="005755D5"/>
    <w:rsid w:val="005C0FF9"/>
    <w:rsid w:val="005C2467"/>
    <w:rsid w:val="005C33CB"/>
    <w:rsid w:val="005D69E8"/>
    <w:rsid w:val="005E21BB"/>
    <w:rsid w:val="005E49DC"/>
    <w:rsid w:val="005E5598"/>
    <w:rsid w:val="005E670D"/>
    <w:rsid w:val="006151D1"/>
    <w:rsid w:val="00622969"/>
    <w:rsid w:val="006B1391"/>
    <w:rsid w:val="006B497F"/>
    <w:rsid w:val="006E4685"/>
    <w:rsid w:val="006E693A"/>
    <w:rsid w:val="00717859"/>
    <w:rsid w:val="00724536"/>
    <w:rsid w:val="00785F5A"/>
    <w:rsid w:val="0079751B"/>
    <w:rsid w:val="007A5CC9"/>
    <w:rsid w:val="007A7817"/>
    <w:rsid w:val="007C107A"/>
    <w:rsid w:val="007C66EB"/>
    <w:rsid w:val="007E0BF1"/>
    <w:rsid w:val="007E4D2F"/>
    <w:rsid w:val="008104BA"/>
    <w:rsid w:val="008428E2"/>
    <w:rsid w:val="00850E3B"/>
    <w:rsid w:val="0085530C"/>
    <w:rsid w:val="00884369"/>
    <w:rsid w:val="008A4793"/>
    <w:rsid w:val="008A7E90"/>
    <w:rsid w:val="008C1C8D"/>
    <w:rsid w:val="008C3CFA"/>
    <w:rsid w:val="008C4832"/>
    <w:rsid w:val="00930C4E"/>
    <w:rsid w:val="0094681D"/>
    <w:rsid w:val="00955723"/>
    <w:rsid w:val="009A54FC"/>
    <w:rsid w:val="009E449C"/>
    <w:rsid w:val="00A35974"/>
    <w:rsid w:val="00A37CC3"/>
    <w:rsid w:val="00A465D6"/>
    <w:rsid w:val="00A571CA"/>
    <w:rsid w:val="00A82AEF"/>
    <w:rsid w:val="00A95986"/>
    <w:rsid w:val="00A9728F"/>
    <w:rsid w:val="00AB14DD"/>
    <w:rsid w:val="00AC1CBD"/>
    <w:rsid w:val="00AF7CA0"/>
    <w:rsid w:val="00B257FB"/>
    <w:rsid w:val="00B51CB0"/>
    <w:rsid w:val="00B53522"/>
    <w:rsid w:val="00B64212"/>
    <w:rsid w:val="00B83DD0"/>
    <w:rsid w:val="00B941BB"/>
    <w:rsid w:val="00BA5F4B"/>
    <w:rsid w:val="00BB11DD"/>
    <w:rsid w:val="00BB3C14"/>
    <w:rsid w:val="00BB7A69"/>
    <w:rsid w:val="00BD6610"/>
    <w:rsid w:val="00BE638D"/>
    <w:rsid w:val="00C14F69"/>
    <w:rsid w:val="00C15D22"/>
    <w:rsid w:val="00C20DE6"/>
    <w:rsid w:val="00C36962"/>
    <w:rsid w:val="00C4574D"/>
    <w:rsid w:val="00C56C91"/>
    <w:rsid w:val="00C71A66"/>
    <w:rsid w:val="00C745AD"/>
    <w:rsid w:val="00C8726B"/>
    <w:rsid w:val="00C93005"/>
    <w:rsid w:val="00CC2E67"/>
    <w:rsid w:val="00CF5727"/>
    <w:rsid w:val="00D0079F"/>
    <w:rsid w:val="00D03544"/>
    <w:rsid w:val="00D21D93"/>
    <w:rsid w:val="00D5342E"/>
    <w:rsid w:val="00D654F8"/>
    <w:rsid w:val="00D76F01"/>
    <w:rsid w:val="00D77CE4"/>
    <w:rsid w:val="00D83475"/>
    <w:rsid w:val="00D90A89"/>
    <w:rsid w:val="00D97A45"/>
    <w:rsid w:val="00DA1032"/>
    <w:rsid w:val="00DB078C"/>
    <w:rsid w:val="00DB1D2B"/>
    <w:rsid w:val="00DE56DF"/>
    <w:rsid w:val="00DE75EE"/>
    <w:rsid w:val="00DF7F6E"/>
    <w:rsid w:val="00E11947"/>
    <w:rsid w:val="00E26BB3"/>
    <w:rsid w:val="00E27AC3"/>
    <w:rsid w:val="00E40445"/>
    <w:rsid w:val="00E4163E"/>
    <w:rsid w:val="00E45BBE"/>
    <w:rsid w:val="00E61D1F"/>
    <w:rsid w:val="00E72B38"/>
    <w:rsid w:val="00E83B85"/>
    <w:rsid w:val="00E962DB"/>
    <w:rsid w:val="00E97679"/>
    <w:rsid w:val="00EB0DB7"/>
    <w:rsid w:val="00EC54AE"/>
    <w:rsid w:val="00EE5647"/>
    <w:rsid w:val="00EE6D12"/>
    <w:rsid w:val="00F06A93"/>
    <w:rsid w:val="00F2159B"/>
    <w:rsid w:val="00F302D0"/>
    <w:rsid w:val="00F33D1B"/>
    <w:rsid w:val="00F43079"/>
    <w:rsid w:val="00F44FF5"/>
    <w:rsid w:val="00F461DC"/>
    <w:rsid w:val="00F61AD8"/>
    <w:rsid w:val="00F63949"/>
    <w:rsid w:val="00F747B3"/>
    <w:rsid w:val="00F92931"/>
    <w:rsid w:val="00F95114"/>
    <w:rsid w:val="00FA229E"/>
    <w:rsid w:val="00FA3EE0"/>
    <w:rsid w:val="00FA3F0E"/>
    <w:rsid w:val="00FB691D"/>
    <w:rsid w:val="00FE35BE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E"/>
  </w:style>
  <w:style w:type="paragraph" w:styleId="1">
    <w:name w:val="heading 1"/>
    <w:basedOn w:val="a"/>
    <w:next w:val="a"/>
    <w:link w:val="10"/>
    <w:uiPriority w:val="9"/>
    <w:qFormat/>
    <w:rsid w:val="00FE35B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E67"/>
  </w:style>
  <w:style w:type="paragraph" w:styleId="a5">
    <w:name w:val="footer"/>
    <w:basedOn w:val="a"/>
    <w:link w:val="a6"/>
    <w:uiPriority w:val="99"/>
    <w:unhideWhenUsed/>
    <w:rsid w:val="00CC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E67"/>
  </w:style>
  <w:style w:type="character" w:customStyle="1" w:styleId="10">
    <w:name w:val="Заголовок 1 Знак"/>
    <w:basedOn w:val="a0"/>
    <w:link w:val="1"/>
    <w:uiPriority w:val="9"/>
    <w:rsid w:val="00FE35B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a7">
    <w:name w:val="Цветовое выделение"/>
    <w:uiPriority w:val="99"/>
    <w:rsid w:val="00FE35BE"/>
    <w:rPr>
      <w:b/>
      <w:color w:val="26282F"/>
    </w:rPr>
  </w:style>
  <w:style w:type="table" w:styleId="a8">
    <w:name w:val="Table Grid"/>
    <w:basedOn w:val="a1"/>
    <w:uiPriority w:val="39"/>
    <w:rsid w:val="008C1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9A54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9A54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83475"/>
    <w:rPr>
      <w:color w:val="0563C1" w:themeColor="hyperlink"/>
      <w:u w:val="single"/>
    </w:rPr>
  </w:style>
  <w:style w:type="character" w:customStyle="1" w:styleId="ac">
    <w:name w:val="Гипертекстовая ссылка"/>
    <w:uiPriority w:val="99"/>
    <w:rsid w:val="00E27AC3"/>
    <w:rPr>
      <w:b/>
      <w:bCs/>
      <w:color w:val="106BBE"/>
    </w:rPr>
  </w:style>
  <w:style w:type="paragraph" w:customStyle="1" w:styleId="s1">
    <w:name w:val="s_1"/>
    <w:basedOn w:val="a"/>
    <w:rsid w:val="0018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E0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E0BF1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43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E"/>
  </w:style>
  <w:style w:type="paragraph" w:styleId="1">
    <w:name w:val="heading 1"/>
    <w:basedOn w:val="a"/>
    <w:next w:val="a"/>
    <w:link w:val="10"/>
    <w:uiPriority w:val="9"/>
    <w:qFormat/>
    <w:rsid w:val="00FE35B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E67"/>
  </w:style>
  <w:style w:type="paragraph" w:styleId="a5">
    <w:name w:val="footer"/>
    <w:basedOn w:val="a"/>
    <w:link w:val="a6"/>
    <w:uiPriority w:val="99"/>
    <w:unhideWhenUsed/>
    <w:rsid w:val="00CC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E67"/>
  </w:style>
  <w:style w:type="character" w:customStyle="1" w:styleId="10">
    <w:name w:val="Заголовок 1 Знак"/>
    <w:basedOn w:val="a0"/>
    <w:link w:val="1"/>
    <w:uiPriority w:val="9"/>
    <w:rsid w:val="00FE35B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a7">
    <w:name w:val="Цветовое выделение"/>
    <w:uiPriority w:val="99"/>
    <w:rsid w:val="00FE35BE"/>
    <w:rPr>
      <w:b/>
      <w:color w:val="26282F"/>
    </w:rPr>
  </w:style>
  <w:style w:type="table" w:styleId="a8">
    <w:name w:val="Table Grid"/>
    <w:basedOn w:val="a1"/>
    <w:uiPriority w:val="39"/>
    <w:rsid w:val="008C1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9A54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9A54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83475"/>
    <w:rPr>
      <w:color w:val="0563C1" w:themeColor="hyperlink"/>
      <w:u w:val="single"/>
    </w:rPr>
  </w:style>
  <w:style w:type="character" w:customStyle="1" w:styleId="ac">
    <w:name w:val="Гипертекстовая ссылка"/>
    <w:uiPriority w:val="99"/>
    <w:rsid w:val="00E27AC3"/>
    <w:rPr>
      <w:b/>
      <w:bCs/>
      <w:color w:val="106BBE"/>
    </w:rPr>
  </w:style>
  <w:style w:type="paragraph" w:customStyle="1" w:styleId="s1">
    <w:name w:val="s_1"/>
    <w:basedOn w:val="a"/>
    <w:rsid w:val="0018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E0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E0BF1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43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5781-F135-42AD-873A-A504253D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А.Н.Равкович</dc:creator>
  <cp:lastModifiedBy>Задорожная Оксана Валерьевна</cp:lastModifiedBy>
  <cp:revision>3</cp:revision>
  <cp:lastPrinted>2023-02-27T14:54:00Z</cp:lastPrinted>
  <dcterms:created xsi:type="dcterms:W3CDTF">2023-02-28T08:49:00Z</dcterms:created>
  <dcterms:modified xsi:type="dcterms:W3CDTF">2023-03-22T08:15:00Z</dcterms:modified>
</cp:coreProperties>
</file>